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D3B86" w14:textId="75AB58DB" w:rsidR="00DD3C3A" w:rsidRDefault="00DD3C3A" w:rsidP="00DD3C3A">
      <w:pPr>
        <w:pStyle w:val="Header"/>
        <w:tabs>
          <w:tab w:val="clear" w:pos="4153"/>
          <w:tab w:val="clear" w:pos="8306"/>
          <w:tab w:val="right" w:pos="9026"/>
        </w:tabs>
        <w:rPr>
          <w:b/>
          <w:color w:val="FF0000"/>
          <w:sz w:val="24"/>
        </w:rPr>
      </w:pPr>
      <w:bookmarkStart w:id="0" w:name="_Hlk512609091"/>
      <w:r>
        <w:rPr>
          <w:b/>
          <w:sz w:val="24"/>
        </w:rPr>
        <w:t>3GPP TSG-RAN WG1 Meeting #10</w:t>
      </w:r>
      <w:r w:rsidR="00EA298F">
        <w:rPr>
          <w:b/>
          <w:sz w:val="24"/>
        </w:rPr>
        <w:t>5</w:t>
      </w:r>
      <w:r>
        <w:rPr>
          <w:b/>
          <w:sz w:val="24"/>
        </w:rPr>
        <w:t>-e</w:t>
      </w:r>
      <w:r>
        <w:rPr>
          <w:b/>
          <w:sz w:val="24"/>
        </w:rPr>
        <w:tab/>
        <w:t>R1-</w:t>
      </w:r>
      <w:r w:rsidR="00062107">
        <w:rPr>
          <w:b/>
          <w:sz w:val="24"/>
        </w:rPr>
        <w:t>210</w:t>
      </w:r>
      <w:r w:rsidR="0059642A" w:rsidRPr="0059642A">
        <w:rPr>
          <w:b/>
          <w:color w:val="000000" w:themeColor="text1"/>
          <w:sz w:val="24"/>
        </w:rPr>
        <w:t>4761</w:t>
      </w:r>
    </w:p>
    <w:p w14:paraId="3AA1488A" w14:textId="0FCB5A7F" w:rsidR="00DD3C3A" w:rsidRDefault="00DD3C3A" w:rsidP="00DD3C3A">
      <w:pPr>
        <w:pStyle w:val="Header"/>
        <w:rPr>
          <w:b/>
          <w:sz w:val="24"/>
        </w:rPr>
      </w:pPr>
      <w:r>
        <w:rPr>
          <w:b/>
          <w:sz w:val="24"/>
        </w:rPr>
        <w:t xml:space="preserve">e-Meeting, </w:t>
      </w:r>
      <w:r w:rsidR="00EA298F">
        <w:rPr>
          <w:b/>
          <w:sz w:val="24"/>
        </w:rPr>
        <w:t>1</w:t>
      </w:r>
      <w:r w:rsidR="00BA2C37">
        <w:rPr>
          <w:b/>
          <w:sz w:val="24"/>
        </w:rPr>
        <w:t>0</w:t>
      </w:r>
      <w:r>
        <w:rPr>
          <w:b/>
          <w:sz w:val="24"/>
        </w:rPr>
        <w:t xml:space="preserve"> – </w:t>
      </w:r>
      <w:r w:rsidR="00EA298F">
        <w:rPr>
          <w:b/>
          <w:sz w:val="24"/>
        </w:rPr>
        <w:t>27 May</w:t>
      </w:r>
      <w:r>
        <w:rPr>
          <w:b/>
          <w:sz w:val="24"/>
        </w:rPr>
        <w:t>, 202</w:t>
      </w:r>
      <w:bookmarkEnd w:id="0"/>
      <w:r w:rsidR="00EA298F">
        <w:rPr>
          <w:b/>
          <w:sz w:val="24"/>
        </w:rPr>
        <w:t>1</w:t>
      </w:r>
    </w:p>
    <w:p w14:paraId="4E703723" w14:textId="77777777" w:rsidR="00B27109" w:rsidRDefault="00B27109" w:rsidP="00B27109"/>
    <w:p w14:paraId="420026A9" w14:textId="4F432381" w:rsidR="00B27109" w:rsidRPr="00942652" w:rsidRDefault="00B27109" w:rsidP="00B27109">
      <w:pPr>
        <w:tabs>
          <w:tab w:val="left" w:pos="1701"/>
        </w:tabs>
        <w:spacing w:after="60"/>
        <w:rPr>
          <w:bCs/>
          <w:color w:val="000000" w:themeColor="text1"/>
        </w:rPr>
      </w:pPr>
      <w:r w:rsidRPr="00BC0557">
        <w:rPr>
          <w:b/>
          <w:sz w:val="22"/>
        </w:rPr>
        <w:t>Agenda item:</w:t>
      </w:r>
      <w:r w:rsidRPr="00EF0FD5">
        <w:tab/>
      </w:r>
      <w:r w:rsidR="003C353E">
        <w:t>8.1</w:t>
      </w:r>
      <w:r w:rsidR="00CE28AD">
        <w:t>2</w:t>
      </w:r>
      <w:r w:rsidR="003C353E">
        <w:t>.</w:t>
      </w:r>
      <w:r w:rsidR="00CE28AD">
        <w:t>3</w:t>
      </w:r>
    </w:p>
    <w:p w14:paraId="06A83340" w14:textId="399DB086" w:rsidR="00BC0557" w:rsidRPr="00B47A8B" w:rsidRDefault="00BC0557" w:rsidP="00BC0557">
      <w:pPr>
        <w:tabs>
          <w:tab w:val="left" w:pos="1701"/>
        </w:tabs>
        <w:spacing w:after="60"/>
        <w:rPr>
          <w:bCs/>
          <w:color w:val="000000" w:themeColor="text1"/>
        </w:rPr>
      </w:pPr>
      <w:r w:rsidRPr="00B47A8B">
        <w:rPr>
          <w:b/>
          <w:color w:val="000000" w:themeColor="text1"/>
          <w:sz w:val="22"/>
        </w:rPr>
        <w:t>Title:</w:t>
      </w:r>
      <w:r w:rsidRPr="00B47A8B">
        <w:rPr>
          <w:b/>
          <w:color w:val="000000" w:themeColor="text1"/>
        </w:rPr>
        <w:tab/>
      </w:r>
      <w:r w:rsidR="003C353E">
        <w:t xml:space="preserve">Discussion on </w:t>
      </w:r>
      <w:r w:rsidR="00062107">
        <w:t>support</w:t>
      </w:r>
      <w:r w:rsidR="00CE28AD">
        <w:t xml:space="preserve"> for IDLE and INACTIVE state UEs</w:t>
      </w:r>
    </w:p>
    <w:p w14:paraId="7DC2E3DB" w14:textId="238BBDA2" w:rsidR="00BC0557" w:rsidRPr="00B47A8B" w:rsidRDefault="00BC0557" w:rsidP="00BC0557">
      <w:pPr>
        <w:tabs>
          <w:tab w:val="left" w:pos="1701"/>
        </w:tabs>
        <w:spacing w:after="60"/>
        <w:rPr>
          <w:bCs/>
          <w:color w:val="000000" w:themeColor="text1"/>
        </w:rPr>
      </w:pPr>
      <w:r w:rsidRPr="00B47A8B">
        <w:rPr>
          <w:b/>
          <w:color w:val="000000" w:themeColor="text1"/>
          <w:sz w:val="22"/>
        </w:rPr>
        <w:t>Source:</w:t>
      </w:r>
      <w:r w:rsidRPr="00B47A8B">
        <w:rPr>
          <w:bCs/>
          <w:color w:val="000000" w:themeColor="text1"/>
        </w:rPr>
        <w:tab/>
        <w:t>OPPO</w:t>
      </w:r>
    </w:p>
    <w:p w14:paraId="38AC3EF2" w14:textId="77777777" w:rsidR="00BC0557" w:rsidRPr="00B47A8B" w:rsidRDefault="00BC0557" w:rsidP="00BC0557">
      <w:pPr>
        <w:tabs>
          <w:tab w:val="left" w:pos="1701"/>
        </w:tabs>
        <w:spacing w:after="60"/>
        <w:rPr>
          <w:color w:val="000000" w:themeColor="text1"/>
        </w:rPr>
      </w:pPr>
      <w:r w:rsidRPr="00B47A8B">
        <w:rPr>
          <w:b/>
          <w:color w:val="000000" w:themeColor="text1"/>
          <w:sz w:val="22"/>
        </w:rPr>
        <w:t>Document for:</w:t>
      </w:r>
      <w:r w:rsidRPr="00B47A8B">
        <w:rPr>
          <w:color w:val="000000" w:themeColor="text1"/>
        </w:rPr>
        <w:tab/>
        <w:t>Discussion and Decision</w:t>
      </w:r>
    </w:p>
    <w:p w14:paraId="4401D39C" w14:textId="77777777" w:rsidR="00BC0557" w:rsidRPr="00B47A8B" w:rsidRDefault="00BC0557" w:rsidP="00BC0557">
      <w:pPr>
        <w:pBdr>
          <w:bottom w:val="single" w:sz="4" w:space="1" w:color="auto"/>
        </w:pBdr>
        <w:rPr>
          <w:color w:val="000000" w:themeColor="text1"/>
        </w:rPr>
      </w:pPr>
    </w:p>
    <w:p w14:paraId="3146754E" w14:textId="77777777" w:rsidR="00BC0557" w:rsidRPr="00B47A8B" w:rsidRDefault="00BC0557" w:rsidP="00BC0557">
      <w:pPr>
        <w:rPr>
          <w:color w:val="000000" w:themeColor="text1"/>
        </w:rPr>
      </w:pPr>
    </w:p>
    <w:p w14:paraId="770EF4D8" w14:textId="77777777" w:rsidR="00BC0557" w:rsidRPr="00B47A8B" w:rsidRDefault="00BC0557" w:rsidP="00BC0557">
      <w:pPr>
        <w:spacing w:after="120"/>
        <w:rPr>
          <w:b/>
          <w:color w:val="000000" w:themeColor="text1"/>
          <w:sz w:val="22"/>
        </w:rPr>
      </w:pPr>
      <w:r w:rsidRPr="00B47A8B">
        <w:rPr>
          <w:b/>
          <w:color w:val="000000" w:themeColor="text1"/>
          <w:sz w:val="22"/>
        </w:rPr>
        <w:t>1. Introduction</w:t>
      </w:r>
    </w:p>
    <w:p w14:paraId="419002A9" w14:textId="5340EE49" w:rsidR="008B41DA" w:rsidRPr="000976A8" w:rsidRDefault="008B41DA" w:rsidP="008B41DA">
      <w:pPr>
        <w:pStyle w:val="BodyText"/>
        <w:spacing w:after="120"/>
        <w:rPr>
          <w:color w:val="000000" w:themeColor="text1"/>
          <w:sz w:val="20"/>
          <w:szCs w:val="20"/>
        </w:rPr>
      </w:pPr>
      <w:r w:rsidRPr="000976A8">
        <w:rPr>
          <w:color w:val="000000" w:themeColor="text1"/>
          <w:sz w:val="20"/>
          <w:szCs w:val="20"/>
        </w:rPr>
        <w:t xml:space="preserve">According to the latest </w:t>
      </w:r>
      <w:r w:rsidR="00EE1D0F">
        <w:rPr>
          <w:color w:val="000000" w:themeColor="text1"/>
          <w:sz w:val="20"/>
          <w:szCs w:val="20"/>
        </w:rPr>
        <w:t>approved</w:t>
      </w:r>
      <w:r w:rsidR="00EE6304">
        <w:rPr>
          <w:color w:val="000000" w:themeColor="text1"/>
          <w:sz w:val="20"/>
          <w:szCs w:val="20"/>
        </w:rPr>
        <w:t xml:space="preserve"> </w:t>
      </w:r>
      <w:r w:rsidRPr="000976A8">
        <w:rPr>
          <w:color w:val="000000" w:themeColor="text1"/>
          <w:sz w:val="20"/>
          <w:szCs w:val="20"/>
        </w:rPr>
        <w:t xml:space="preserve">WID for the NR </w:t>
      </w:r>
      <w:r w:rsidR="00380967">
        <w:rPr>
          <w:color w:val="000000" w:themeColor="text1"/>
          <w:sz w:val="20"/>
          <w:szCs w:val="20"/>
        </w:rPr>
        <w:t>multicast and broadcast services</w:t>
      </w:r>
      <w:r w:rsidRPr="000976A8">
        <w:rPr>
          <w:color w:val="000000" w:themeColor="text1"/>
          <w:sz w:val="20"/>
          <w:szCs w:val="20"/>
        </w:rPr>
        <w:t xml:space="preserve"> (</w:t>
      </w:r>
      <w:r w:rsidR="00380967">
        <w:rPr>
          <w:color w:val="000000" w:themeColor="text1"/>
          <w:sz w:val="20"/>
          <w:szCs w:val="20"/>
        </w:rPr>
        <w:t>MBS</w:t>
      </w:r>
      <w:r w:rsidRPr="000976A8">
        <w:rPr>
          <w:color w:val="000000" w:themeColor="text1"/>
          <w:sz w:val="20"/>
          <w:szCs w:val="20"/>
        </w:rPr>
        <w:t xml:space="preserve">) item in [1], one main objective of this work is to </w:t>
      </w:r>
      <w:r w:rsidR="00380967">
        <w:rPr>
          <w:color w:val="000000" w:themeColor="text1"/>
          <w:sz w:val="20"/>
          <w:szCs w:val="20"/>
        </w:rPr>
        <w:t>specify basic functionalities to support MBS for RRC idle and inactive state UEs. T</w:t>
      </w:r>
      <w:r w:rsidRPr="000976A8">
        <w:rPr>
          <w:color w:val="000000" w:themeColor="text1"/>
          <w:sz w:val="20"/>
          <w:szCs w:val="20"/>
        </w:rPr>
        <w:t>he exact objective of this work extracted from [1], is copied in the following.</w:t>
      </w:r>
    </w:p>
    <w:tbl>
      <w:tblPr>
        <w:tblStyle w:val="TableGrid"/>
        <w:tblW w:w="0" w:type="auto"/>
        <w:tblLook w:val="04A0" w:firstRow="1" w:lastRow="0" w:firstColumn="1" w:lastColumn="0" w:noHBand="0" w:noVBand="1"/>
      </w:tblPr>
      <w:tblGrid>
        <w:gridCol w:w="9016"/>
      </w:tblGrid>
      <w:tr w:rsidR="008B41DA" w:rsidRPr="008B41DA" w14:paraId="688A2A7B" w14:textId="77777777" w:rsidTr="000A32BA">
        <w:tc>
          <w:tcPr>
            <w:tcW w:w="9016" w:type="dxa"/>
          </w:tcPr>
          <w:p w14:paraId="504D6832" w14:textId="77777777" w:rsidR="008B41DA" w:rsidRPr="00090AA7" w:rsidRDefault="008B41DA" w:rsidP="00090AA7">
            <w:pPr>
              <w:numPr>
                <w:ilvl w:val="0"/>
                <w:numId w:val="40"/>
              </w:numPr>
              <w:overflowPunct w:val="0"/>
              <w:autoSpaceDE w:val="0"/>
              <w:autoSpaceDN w:val="0"/>
              <w:adjustRightInd w:val="0"/>
              <w:ind w:left="448" w:right="-99"/>
              <w:jc w:val="left"/>
              <w:textAlignment w:val="baseline"/>
              <w:rPr>
                <w:rFonts w:ascii="Times New Roman" w:hAnsi="Times New Roman" w:cs="Times New Roman"/>
                <w:i/>
                <w:iCs/>
                <w:color w:val="000000"/>
                <w:sz w:val="18"/>
                <w:szCs w:val="18"/>
              </w:rPr>
            </w:pPr>
            <w:r w:rsidRPr="00090AA7">
              <w:rPr>
                <w:rFonts w:ascii="Times New Roman" w:hAnsi="Times New Roman" w:cs="Times New Roman"/>
                <w:i/>
                <w:iCs/>
                <w:color w:val="000000"/>
                <w:sz w:val="18"/>
                <w:szCs w:val="18"/>
              </w:rPr>
              <w:t>Specify RAN basic functions for broadcast/multicast for UEs in RRC_IDLE/ RRC_INACTIVE states [RAN2, RAN1]:</w:t>
            </w:r>
          </w:p>
          <w:p w14:paraId="3E00F68F" w14:textId="77777777" w:rsidR="008B41DA" w:rsidRPr="00090AA7" w:rsidRDefault="008B41DA" w:rsidP="00090AA7">
            <w:pPr>
              <w:numPr>
                <w:ilvl w:val="1"/>
                <w:numId w:val="40"/>
              </w:numPr>
              <w:overflowPunct w:val="0"/>
              <w:autoSpaceDE w:val="0"/>
              <w:autoSpaceDN w:val="0"/>
              <w:adjustRightInd w:val="0"/>
              <w:ind w:left="1015"/>
              <w:jc w:val="left"/>
              <w:textAlignment w:val="baseline"/>
              <w:rPr>
                <w:rFonts w:ascii="Times New Roman" w:hAnsi="Times New Roman" w:cs="Times New Roman"/>
                <w:i/>
                <w:iCs/>
                <w:color w:val="000000"/>
                <w:sz w:val="18"/>
                <w:szCs w:val="18"/>
              </w:rPr>
            </w:pPr>
            <w:r w:rsidRPr="00090AA7">
              <w:rPr>
                <w:rFonts w:ascii="Times New Roman" w:hAnsi="Times New Roman" w:cs="Times New Roman"/>
                <w:i/>
                <w:iCs/>
                <w:color w:val="000000"/>
                <w:sz w:val="18"/>
                <w:szCs w:val="18"/>
              </w:rPr>
              <w:t>Specify required changes to enable the reception of Point to Multipoint transmissions by UEs in RRC_IDLE/ RRC_INACTIVE states, with the aim of keeping maximum commonality between RRC_CONNECTED state and RRC_IDLE/RRC_INACTIVE state for the configuration of PTM reception. [RAN2, RAN1].</w:t>
            </w:r>
          </w:p>
          <w:p w14:paraId="6BD1BE9B" w14:textId="2EC5FEA4" w:rsidR="008B41DA" w:rsidRPr="00090AA7" w:rsidRDefault="008B41DA" w:rsidP="00090AA7">
            <w:pPr>
              <w:overflowPunct w:val="0"/>
              <w:autoSpaceDE w:val="0"/>
              <w:autoSpaceDN w:val="0"/>
              <w:adjustRightInd w:val="0"/>
              <w:ind w:left="590"/>
              <w:jc w:val="left"/>
              <w:textAlignment w:val="baseline"/>
              <w:rPr>
                <w:rFonts w:ascii="Times New Roman" w:hAnsi="Times New Roman" w:cs="Times New Roman"/>
                <w:i/>
                <w:iCs/>
                <w:color w:val="000000"/>
                <w:sz w:val="18"/>
                <w:szCs w:val="18"/>
              </w:rPr>
            </w:pPr>
            <w:r w:rsidRPr="00090AA7">
              <w:rPr>
                <w:rFonts w:ascii="Times New Roman" w:hAnsi="Times New Roman" w:cs="Times New Roman"/>
                <w:i/>
                <w:iCs/>
                <w:color w:val="000000"/>
                <w:sz w:val="18"/>
                <w:szCs w:val="18"/>
              </w:rPr>
              <w:t>Note: the possibility of receiving Point to Multipoint transmissions by UEs in RRC_IDLE/ RRC_INACTIVE states, without the need for those UEs to get the configuration of the PTM bearer carrying the Broadcast/Multicast service while in RRC CONNECTED state beforehand, is subject to verification of service subscription and authorization assumptions during the WI.</w:t>
            </w:r>
          </w:p>
        </w:tc>
      </w:tr>
    </w:tbl>
    <w:p w14:paraId="0E42938A" w14:textId="330A3523" w:rsidR="00090AA7" w:rsidRDefault="00062107" w:rsidP="00090AA7">
      <w:pPr>
        <w:pStyle w:val="BodyText"/>
        <w:spacing w:before="120" w:after="120"/>
        <w:rPr>
          <w:color w:val="000000" w:themeColor="text1"/>
          <w:sz w:val="20"/>
          <w:szCs w:val="20"/>
        </w:rPr>
      </w:pPr>
      <w:r>
        <w:rPr>
          <w:color w:val="000000" w:themeColor="text1"/>
          <w:sz w:val="20"/>
          <w:szCs w:val="20"/>
        </w:rPr>
        <w:t>During the RAN1#10</w:t>
      </w:r>
      <w:r w:rsidR="00A17EB4">
        <w:rPr>
          <w:color w:val="000000" w:themeColor="text1"/>
          <w:sz w:val="20"/>
          <w:szCs w:val="20"/>
        </w:rPr>
        <w:t>4</w:t>
      </w:r>
      <w:r>
        <w:rPr>
          <w:color w:val="000000" w:themeColor="text1"/>
          <w:sz w:val="20"/>
          <w:szCs w:val="20"/>
        </w:rPr>
        <w:t xml:space="preserve">-e meeting, some basic </w:t>
      </w:r>
      <w:r w:rsidR="00A17EB4">
        <w:rPr>
          <w:color w:val="000000" w:themeColor="text1"/>
          <w:sz w:val="20"/>
          <w:szCs w:val="20"/>
        </w:rPr>
        <w:t xml:space="preserve">aspects </w:t>
      </w:r>
      <w:r w:rsidR="00090AA7">
        <w:rPr>
          <w:color w:val="000000" w:themeColor="text1"/>
          <w:sz w:val="20"/>
          <w:szCs w:val="20"/>
        </w:rPr>
        <w:t>of</w:t>
      </w:r>
      <w:r w:rsidR="00A17EB4">
        <w:rPr>
          <w:color w:val="000000" w:themeColor="text1"/>
          <w:sz w:val="20"/>
          <w:szCs w:val="20"/>
        </w:rPr>
        <w:t xml:space="preserve"> </w:t>
      </w:r>
      <w:r w:rsidR="00090AA7">
        <w:rPr>
          <w:color w:val="000000" w:themeColor="text1"/>
          <w:sz w:val="20"/>
          <w:szCs w:val="20"/>
        </w:rPr>
        <w:t>broadcast reception</w:t>
      </w:r>
      <w:r w:rsidR="00A17EB4">
        <w:rPr>
          <w:color w:val="000000" w:themeColor="text1"/>
          <w:sz w:val="20"/>
          <w:szCs w:val="20"/>
        </w:rPr>
        <w:t xml:space="preserve"> </w:t>
      </w:r>
      <w:r w:rsidR="00090AA7">
        <w:rPr>
          <w:color w:val="000000" w:themeColor="text1"/>
          <w:sz w:val="20"/>
          <w:szCs w:val="20"/>
        </w:rPr>
        <w:t>for IDLE/INACTIVE UEs</w:t>
      </w:r>
      <w:r>
        <w:rPr>
          <w:color w:val="000000" w:themeColor="text1"/>
          <w:sz w:val="20"/>
          <w:szCs w:val="20"/>
        </w:rPr>
        <w:t xml:space="preserve"> such as </w:t>
      </w:r>
      <w:r w:rsidR="00A17EB4">
        <w:rPr>
          <w:color w:val="000000" w:themeColor="text1"/>
          <w:sz w:val="20"/>
          <w:szCs w:val="20"/>
        </w:rPr>
        <w:t>common frequency resource</w:t>
      </w:r>
      <w:r>
        <w:rPr>
          <w:color w:val="000000" w:themeColor="text1"/>
          <w:sz w:val="20"/>
          <w:szCs w:val="20"/>
        </w:rPr>
        <w:t xml:space="preserve">, </w:t>
      </w:r>
      <w:r w:rsidR="007D6779">
        <w:rPr>
          <w:color w:val="000000" w:themeColor="text1"/>
          <w:sz w:val="20"/>
          <w:szCs w:val="20"/>
        </w:rPr>
        <w:t xml:space="preserve">CORESET, search space, </w:t>
      </w:r>
      <w:r w:rsidR="009E1491">
        <w:rPr>
          <w:color w:val="000000" w:themeColor="text1"/>
          <w:sz w:val="20"/>
          <w:szCs w:val="20"/>
        </w:rPr>
        <w:t xml:space="preserve">beam-sweeping, </w:t>
      </w:r>
      <w:r w:rsidR="007D6779">
        <w:rPr>
          <w:color w:val="000000" w:themeColor="text1"/>
          <w:sz w:val="20"/>
          <w:szCs w:val="20"/>
        </w:rPr>
        <w:t>HARQ feedback, PDCCH repetition, and SPS scheduling</w:t>
      </w:r>
      <w:r>
        <w:rPr>
          <w:color w:val="000000" w:themeColor="text1"/>
          <w:sz w:val="20"/>
          <w:szCs w:val="20"/>
        </w:rPr>
        <w:t xml:space="preserve"> were discussed and </w:t>
      </w:r>
      <w:r w:rsidR="00090AA7">
        <w:rPr>
          <w:color w:val="000000" w:themeColor="text1"/>
          <w:sz w:val="20"/>
          <w:szCs w:val="20"/>
        </w:rPr>
        <w:t xml:space="preserve">some </w:t>
      </w:r>
      <w:r>
        <w:rPr>
          <w:color w:val="000000" w:themeColor="text1"/>
          <w:sz w:val="20"/>
          <w:szCs w:val="20"/>
        </w:rPr>
        <w:t>agreements reached</w:t>
      </w:r>
      <w:r w:rsidR="00A17EB4">
        <w:rPr>
          <w:color w:val="000000" w:themeColor="text1"/>
          <w:sz w:val="20"/>
          <w:szCs w:val="20"/>
        </w:rPr>
        <w:t xml:space="preserve"> </w:t>
      </w:r>
      <w:r w:rsidR="00090AA7">
        <w:rPr>
          <w:color w:val="000000" w:themeColor="text1"/>
          <w:sz w:val="20"/>
          <w:szCs w:val="20"/>
        </w:rPr>
        <w:t>in the followings</w:t>
      </w:r>
      <w:r>
        <w:rPr>
          <w:color w:val="000000" w:themeColor="text1"/>
          <w:sz w:val="20"/>
          <w:szCs w:val="20"/>
        </w:rPr>
        <w:t>.</w:t>
      </w:r>
    </w:p>
    <w:tbl>
      <w:tblPr>
        <w:tblStyle w:val="TableGrid"/>
        <w:tblW w:w="0" w:type="auto"/>
        <w:tblLook w:val="04A0" w:firstRow="1" w:lastRow="0" w:firstColumn="1" w:lastColumn="0" w:noHBand="0" w:noVBand="1"/>
      </w:tblPr>
      <w:tblGrid>
        <w:gridCol w:w="9016"/>
      </w:tblGrid>
      <w:tr w:rsidR="00090AA7" w14:paraId="68D9E0CB" w14:textId="77777777" w:rsidTr="00090AA7">
        <w:tc>
          <w:tcPr>
            <w:tcW w:w="9016" w:type="dxa"/>
          </w:tcPr>
          <w:p w14:paraId="7C560A4C" w14:textId="77777777" w:rsidR="00090AA7" w:rsidRPr="00090AA7" w:rsidRDefault="00090AA7" w:rsidP="00090AA7">
            <w:pPr>
              <w:rPr>
                <w:rFonts w:ascii="Times New Roman" w:hAnsi="Times New Roman" w:cs="Times New Roman"/>
                <w:i/>
                <w:iCs/>
                <w:sz w:val="18"/>
                <w:szCs w:val="18"/>
                <w:lang w:eastAsia="x-none"/>
              </w:rPr>
            </w:pPr>
            <w:r w:rsidRPr="00090AA7">
              <w:rPr>
                <w:rFonts w:ascii="Times New Roman" w:hAnsi="Times New Roman" w:cs="Times New Roman"/>
                <w:i/>
                <w:iCs/>
                <w:sz w:val="18"/>
                <w:szCs w:val="18"/>
                <w:highlight w:val="green"/>
                <w:lang w:eastAsia="x-none"/>
              </w:rPr>
              <w:t>Agreement:</w:t>
            </w:r>
          </w:p>
          <w:p w14:paraId="0BD60DFB" w14:textId="77777777" w:rsidR="00090AA7" w:rsidRPr="00090AA7" w:rsidRDefault="00090AA7" w:rsidP="00090AA7">
            <w:pPr>
              <w:rPr>
                <w:rFonts w:ascii="Times New Roman" w:hAnsi="Times New Roman" w:cs="Times New Roman"/>
                <w:i/>
                <w:iCs/>
                <w:sz w:val="18"/>
                <w:szCs w:val="18"/>
              </w:rPr>
            </w:pPr>
            <w:r w:rsidRPr="00090AA7">
              <w:rPr>
                <w:rFonts w:ascii="Times New Roman" w:hAnsi="Times New Roman" w:cs="Times New Roman"/>
                <w:i/>
                <w:iCs/>
                <w:sz w:val="18"/>
                <w:szCs w:val="18"/>
              </w:rPr>
              <w:t>For RRC_IDLE/RRC_INACTIVE UEs, one common frequency resource for group-common PDCCH/PDSCH can be defined/configured.</w:t>
            </w:r>
          </w:p>
          <w:p w14:paraId="2DE32024" w14:textId="77777777" w:rsidR="00090AA7" w:rsidRPr="00090AA7" w:rsidRDefault="00090AA7" w:rsidP="00090AA7">
            <w:pPr>
              <w:pStyle w:val="ListParagraph"/>
              <w:numPr>
                <w:ilvl w:val="0"/>
                <w:numId w:val="43"/>
              </w:numPr>
              <w:overflowPunct w:val="0"/>
              <w:autoSpaceDE w:val="0"/>
              <w:autoSpaceDN w:val="0"/>
              <w:adjustRightInd w:val="0"/>
              <w:ind w:leftChars="0"/>
              <w:textAlignment w:val="baseline"/>
              <w:rPr>
                <w:rFonts w:ascii="Times New Roman" w:hAnsi="Times New Roman"/>
                <w:i/>
                <w:iCs/>
                <w:sz w:val="18"/>
                <w:szCs w:val="18"/>
              </w:rPr>
            </w:pPr>
            <w:r w:rsidRPr="00090AA7">
              <w:rPr>
                <w:rFonts w:ascii="Times New Roman" w:hAnsi="Times New Roman"/>
                <w:i/>
                <w:iCs/>
                <w:sz w:val="18"/>
                <w:szCs w:val="18"/>
              </w:rPr>
              <w:t>FFS: whether to define/configure more than one common frequency resources</w:t>
            </w:r>
          </w:p>
          <w:p w14:paraId="7D54C344" w14:textId="77777777" w:rsidR="00090AA7" w:rsidRPr="00090AA7" w:rsidRDefault="00090AA7" w:rsidP="00090AA7">
            <w:pPr>
              <w:rPr>
                <w:rFonts w:ascii="Times New Roman" w:hAnsi="Times New Roman" w:cs="Times New Roman"/>
                <w:i/>
                <w:iCs/>
                <w:sz w:val="18"/>
                <w:szCs w:val="18"/>
              </w:rPr>
            </w:pPr>
          </w:p>
          <w:p w14:paraId="37D3FEC4" w14:textId="77777777" w:rsidR="00090AA7" w:rsidRPr="00090AA7" w:rsidRDefault="00090AA7" w:rsidP="00090AA7">
            <w:pPr>
              <w:rPr>
                <w:rFonts w:ascii="Times New Roman" w:hAnsi="Times New Roman" w:cs="Times New Roman"/>
                <w:i/>
                <w:iCs/>
                <w:sz w:val="18"/>
                <w:szCs w:val="18"/>
                <w:lang w:eastAsia="x-none"/>
              </w:rPr>
            </w:pPr>
            <w:r w:rsidRPr="00090AA7">
              <w:rPr>
                <w:rFonts w:ascii="Times New Roman" w:hAnsi="Times New Roman" w:cs="Times New Roman"/>
                <w:i/>
                <w:iCs/>
                <w:sz w:val="18"/>
                <w:szCs w:val="18"/>
                <w:highlight w:val="green"/>
                <w:lang w:eastAsia="x-none"/>
              </w:rPr>
              <w:t>Agreement:</w:t>
            </w:r>
          </w:p>
          <w:p w14:paraId="5AE170CE" w14:textId="77777777" w:rsidR="00090AA7" w:rsidRPr="00090AA7" w:rsidRDefault="00090AA7" w:rsidP="00090AA7">
            <w:pPr>
              <w:rPr>
                <w:rFonts w:ascii="Times New Roman" w:hAnsi="Times New Roman" w:cs="Times New Roman"/>
                <w:i/>
                <w:iCs/>
                <w:sz w:val="18"/>
                <w:szCs w:val="18"/>
                <w:lang w:eastAsia="x-none"/>
              </w:rPr>
            </w:pPr>
            <w:r w:rsidRPr="00090AA7">
              <w:rPr>
                <w:rFonts w:ascii="Times New Roman" w:hAnsi="Times New Roman" w:cs="Times New Roman"/>
                <w:i/>
                <w:iCs/>
                <w:sz w:val="18"/>
                <w:szCs w:val="18"/>
                <w:lang w:eastAsia="x-none"/>
              </w:rPr>
              <w:t xml:space="preserve">For RRC_IDLE/RRC_INACTIVE UEs, for broadcast reception, the UE may assume that group-common PDCCH/PDSCH is </w:t>
            </w:r>
            <w:proofErr w:type="spellStart"/>
            <w:r w:rsidRPr="00090AA7">
              <w:rPr>
                <w:rFonts w:ascii="Times New Roman" w:hAnsi="Times New Roman" w:cs="Times New Roman"/>
                <w:i/>
                <w:iCs/>
                <w:sz w:val="18"/>
                <w:szCs w:val="18"/>
                <w:lang w:eastAsia="x-none"/>
              </w:rPr>
              <w:t>QCL’d</w:t>
            </w:r>
            <w:proofErr w:type="spellEnd"/>
            <w:r w:rsidRPr="00090AA7">
              <w:rPr>
                <w:rFonts w:ascii="Times New Roman" w:hAnsi="Times New Roman" w:cs="Times New Roman"/>
                <w:i/>
                <w:iCs/>
                <w:sz w:val="18"/>
                <w:szCs w:val="18"/>
                <w:lang w:eastAsia="x-none"/>
              </w:rPr>
              <w:t xml:space="preserve"> with SSB.</w:t>
            </w:r>
          </w:p>
          <w:p w14:paraId="15B1733E" w14:textId="77777777" w:rsidR="00090AA7" w:rsidRPr="00090AA7" w:rsidRDefault="00090AA7" w:rsidP="00090AA7">
            <w:pPr>
              <w:numPr>
                <w:ilvl w:val="0"/>
                <w:numId w:val="44"/>
              </w:numPr>
              <w:jc w:val="left"/>
              <w:rPr>
                <w:rFonts w:ascii="Times New Roman" w:hAnsi="Times New Roman" w:cs="Times New Roman"/>
                <w:i/>
                <w:iCs/>
                <w:sz w:val="18"/>
                <w:szCs w:val="18"/>
                <w:lang w:eastAsia="x-none"/>
              </w:rPr>
            </w:pPr>
            <w:r w:rsidRPr="00090AA7">
              <w:rPr>
                <w:rFonts w:ascii="Times New Roman" w:hAnsi="Times New Roman" w:cs="Times New Roman"/>
                <w:i/>
                <w:iCs/>
                <w:sz w:val="18"/>
                <w:szCs w:val="18"/>
                <w:lang w:eastAsia="x-none"/>
              </w:rPr>
              <w:t xml:space="preserve">It is up to UE implementation whether UE monitors monitoring occasions corresponding to all SSB indexes or monitoring occasions corresponding to a subset of all SSB indexes. </w:t>
            </w:r>
          </w:p>
          <w:p w14:paraId="539ED449" w14:textId="77777777" w:rsidR="00090AA7" w:rsidRPr="00090AA7" w:rsidRDefault="00090AA7" w:rsidP="00090AA7">
            <w:pPr>
              <w:numPr>
                <w:ilvl w:val="0"/>
                <w:numId w:val="44"/>
              </w:numPr>
              <w:jc w:val="left"/>
              <w:rPr>
                <w:rFonts w:ascii="Times New Roman" w:hAnsi="Times New Roman" w:cs="Times New Roman"/>
                <w:i/>
                <w:iCs/>
                <w:sz w:val="18"/>
                <w:szCs w:val="18"/>
                <w:lang w:eastAsia="x-none"/>
              </w:rPr>
            </w:pPr>
            <w:r w:rsidRPr="00090AA7">
              <w:rPr>
                <w:rFonts w:ascii="Times New Roman" w:hAnsi="Times New Roman" w:cs="Times New Roman"/>
                <w:i/>
                <w:iCs/>
                <w:sz w:val="18"/>
                <w:szCs w:val="18"/>
                <w:lang w:eastAsia="x-none"/>
              </w:rPr>
              <w:t>FFS: association rules between SSB indexes and UE monitoring occasions.</w:t>
            </w:r>
          </w:p>
          <w:p w14:paraId="0F42C84B" w14:textId="77777777" w:rsidR="00090AA7" w:rsidRPr="00090AA7" w:rsidRDefault="00090AA7" w:rsidP="00090AA7">
            <w:pPr>
              <w:numPr>
                <w:ilvl w:val="0"/>
                <w:numId w:val="44"/>
              </w:numPr>
              <w:jc w:val="left"/>
              <w:rPr>
                <w:rFonts w:ascii="Times New Roman" w:hAnsi="Times New Roman" w:cs="Times New Roman"/>
                <w:i/>
                <w:iCs/>
                <w:sz w:val="18"/>
                <w:szCs w:val="18"/>
                <w:lang w:eastAsia="x-none"/>
              </w:rPr>
            </w:pPr>
            <w:r w:rsidRPr="00090AA7">
              <w:rPr>
                <w:rFonts w:ascii="Times New Roman" w:hAnsi="Times New Roman" w:cs="Times New Roman"/>
                <w:i/>
                <w:iCs/>
                <w:sz w:val="18"/>
                <w:szCs w:val="18"/>
                <w:lang w:eastAsia="x-none"/>
              </w:rPr>
              <w:t xml:space="preserve">FFS: group-common PDCCH/PDSCH is </w:t>
            </w:r>
            <w:proofErr w:type="spellStart"/>
            <w:r w:rsidRPr="00090AA7">
              <w:rPr>
                <w:rFonts w:ascii="Times New Roman" w:hAnsi="Times New Roman" w:cs="Times New Roman"/>
                <w:i/>
                <w:iCs/>
                <w:sz w:val="18"/>
                <w:szCs w:val="18"/>
                <w:lang w:eastAsia="x-none"/>
              </w:rPr>
              <w:t>QCl’d</w:t>
            </w:r>
            <w:proofErr w:type="spellEnd"/>
            <w:r w:rsidRPr="00090AA7">
              <w:rPr>
                <w:rFonts w:ascii="Times New Roman" w:hAnsi="Times New Roman" w:cs="Times New Roman"/>
                <w:i/>
                <w:iCs/>
                <w:sz w:val="18"/>
                <w:szCs w:val="18"/>
                <w:lang w:eastAsia="x-none"/>
              </w:rPr>
              <w:t xml:space="preserve"> with TRS if configured</w:t>
            </w:r>
          </w:p>
          <w:p w14:paraId="100A9B93" w14:textId="77777777" w:rsidR="00090AA7" w:rsidRPr="00090AA7" w:rsidRDefault="00090AA7" w:rsidP="00090AA7">
            <w:pPr>
              <w:rPr>
                <w:rFonts w:ascii="Times New Roman" w:hAnsi="Times New Roman" w:cs="Times New Roman"/>
                <w:i/>
                <w:iCs/>
                <w:sz w:val="18"/>
                <w:szCs w:val="18"/>
                <w:lang w:eastAsia="x-none"/>
              </w:rPr>
            </w:pPr>
          </w:p>
          <w:p w14:paraId="01FEFDF8" w14:textId="77777777" w:rsidR="00090AA7" w:rsidRPr="00090AA7" w:rsidRDefault="00090AA7" w:rsidP="00090AA7">
            <w:pPr>
              <w:rPr>
                <w:rFonts w:ascii="Times New Roman" w:hAnsi="Times New Roman" w:cs="Times New Roman"/>
                <w:i/>
                <w:iCs/>
                <w:sz w:val="18"/>
                <w:szCs w:val="18"/>
                <w:lang w:eastAsia="x-none"/>
              </w:rPr>
            </w:pPr>
            <w:r w:rsidRPr="00090AA7">
              <w:rPr>
                <w:rFonts w:ascii="Times New Roman" w:hAnsi="Times New Roman" w:cs="Times New Roman"/>
                <w:i/>
                <w:iCs/>
                <w:sz w:val="18"/>
                <w:szCs w:val="18"/>
                <w:highlight w:val="green"/>
                <w:lang w:eastAsia="x-none"/>
              </w:rPr>
              <w:t>Agreement:</w:t>
            </w:r>
          </w:p>
          <w:p w14:paraId="2E61C2F9" w14:textId="77777777" w:rsidR="00090AA7" w:rsidRPr="00090AA7" w:rsidRDefault="00090AA7" w:rsidP="00090AA7">
            <w:pPr>
              <w:rPr>
                <w:rFonts w:ascii="Times New Roman" w:hAnsi="Times New Roman" w:cs="Times New Roman"/>
                <w:i/>
                <w:iCs/>
                <w:sz w:val="18"/>
                <w:szCs w:val="18"/>
                <w:lang w:eastAsia="x-none"/>
              </w:rPr>
            </w:pPr>
            <w:r w:rsidRPr="00090AA7">
              <w:rPr>
                <w:rFonts w:ascii="Times New Roman" w:hAnsi="Times New Roman" w:cs="Times New Roman"/>
                <w:i/>
                <w:iCs/>
                <w:sz w:val="18"/>
                <w:szCs w:val="18"/>
                <w:lang w:eastAsia="x-none"/>
              </w:rPr>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7781A6EB" w14:textId="77777777" w:rsidR="00090AA7" w:rsidRPr="00090AA7" w:rsidRDefault="00090AA7" w:rsidP="00090AA7">
            <w:pPr>
              <w:numPr>
                <w:ilvl w:val="0"/>
                <w:numId w:val="45"/>
              </w:numPr>
              <w:jc w:val="left"/>
              <w:rPr>
                <w:rFonts w:ascii="Times New Roman" w:hAnsi="Times New Roman" w:cs="Times New Roman"/>
                <w:i/>
                <w:iCs/>
                <w:sz w:val="18"/>
                <w:szCs w:val="18"/>
                <w:lang w:eastAsia="x-none"/>
              </w:rPr>
            </w:pPr>
            <w:r w:rsidRPr="00090AA7">
              <w:rPr>
                <w:rFonts w:ascii="Times New Roman" w:hAnsi="Times New Roman" w:cs="Times New Roman"/>
                <w:i/>
                <w:iCs/>
                <w:sz w:val="18"/>
                <w:szCs w:val="18"/>
                <w:lang w:eastAsia="x-none"/>
              </w:rPr>
              <w:t>FFS: the case when UE-specific active BWP of RRC_CONNECTED UE does not contain the common frequency resource of RRC_IDLE/INACTIVE UEs.</w:t>
            </w:r>
          </w:p>
          <w:p w14:paraId="43ED7BC2" w14:textId="77777777" w:rsidR="00090AA7" w:rsidRPr="00090AA7" w:rsidRDefault="00090AA7" w:rsidP="00090AA7">
            <w:pPr>
              <w:rPr>
                <w:rFonts w:ascii="Times New Roman" w:hAnsi="Times New Roman" w:cs="Times New Roman"/>
                <w:i/>
                <w:iCs/>
                <w:sz w:val="18"/>
                <w:szCs w:val="18"/>
                <w:lang w:eastAsia="x-none"/>
              </w:rPr>
            </w:pPr>
          </w:p>
          <w:p w14:paraId="2094C49E" w14:textId="77777777" w:rsidR="00090AA7" w:rsidRPr="00090AA7" w:rsidRDefault="00090AA7" w:rsidP="00090AA7">
            <w:pPr>
              <w:rPr>
                <w:rFonts w:ascii="Times New Roman" w:hAnsi="Times New Roman" w:cs="Times New Roman"/>
                <w:i/>
                <w:iCs/>
                <w:sz w:val="18"/>
                <w:szCs w:val="18"/>
                <w:lang w:eastAsia="x-none"/>
              </w:rPr>
            </w:pPr>
            <w:r w:rsidRPr="00090AA7">
              <w:rPr>
                <w:rFonts w:ascii="Times New Roman" w:hAnsi="Times New Roman" w:cs="Times New Roman"/>
                <w:i/>
                <w:iCs/>
                <w:sz w:val="18"/>
                <w:szCs w:val="18"/>
                <w:highlight w:val="green"/>
                <w:lang w:eastAsia="x-none"/>
              </w:rPr>
              <w:t>Agreement:</w:t>
            </w:r>
          </w:p>
          <w:p w14:paraId="0647A4EA" w14:textId="77777777" w:rsidR="00090AA7" w:rsidRPr="00090AA7" w:rsidRDefault="00090AA7" w:rsidP="00090AA7">
            <w:pPr>
              <w:rPr>
                <w:rFonts w:ascii="Times New Roman" w:hAnsi="Times New Roman" w:cs="Times New Roman"/>
                <w:i/>
                <w:iCs/>
                <w:sz w:val="18"/>
                <w:szCs w:val="18"/>
              </w:rPr>
            </w:pPr>
            <w:r w:rsidRPr="00090AA7">
              <w:rPr>
                <w:rFonts w:ascii="Times New Roman" w:hAnsi="Times New Roman" w:cs="Times New Roman"/>
                <w:i/>
                <w:iCs/>
                <w:sz w:val="18"/>
                <w:szCs w:val="18"/>
              </w:rPr>
              <w:t xml:space="preserve">For RRC_IDLE/RRC_INACTIVE UEs, for broadcast reception, further study the following cases of a configured/defined specific common frequency resource (CFR) for group-common PDCCH/PDSCH, </w:t>
            </w:r>
            <w:r w:rsidRPr="00090AA7">
              <w:rPr>
                <w:rFonts w:ascii="Times New Roman" w:hAnsi="Times New Roman" w:cs="Times New Roman"/>
                <w:i/>
                <w:iCs/>
                <w:sz w:val="18"/>
                <w:szCs w:val="18"/>
                <w:u w:val="single"/>
              </w:rPr>
              <w:t>and identify which case(s) will be supported</w:t>
            </w:r>
            <w:r w:rsidRPr="00090AA7">
              <w:rPr>
                <w:rFonts w:ascii="Times New Roman" w:hAnsi="Times New Roman" w:cs="Times New Roman"/>
                <w:i/>
                <w:iCs/>
                <w:sz w:val="18"/>
                <w:szCs w:val="18"/>
              </w:rPr>
              <w:t>:</w:t>
            </w:r>
          </w:p>
          <w:p w14:paraId="058E4B60" w14:textId="77777777" w:rsidR="00090AA7" w:rsidRPr="00090AA7" w:rsidRDefault="00090AA7" w:rsidP="00090AA7">
            <w:pPr>
              <w:pStyle w:val="ListParagraph"/>
              <w:numPr>
                <w:ilvl w:val="0"/>
                <w:numId w:val="46"/>
              </w:numPr>
              <w:overflowPunct w:val="0"/>
              <w:autoSpaceDE w:val="0"/>
              <w:autoSpaceDN w:val="0"/>
              <w:adjustRightInd w:val="0"/>
              <w:ind w:leftChars="0"/>
              <w:textAlignment w:val="baseline"/>
              <w:rPr>
                <w:rFonts w:ascii="Times New Roman" w:hAnsi="Times New Roman"/>
                <w:i/>
                <w:iCs/>
                <w:sz w:val="18"/>
                <w:szCs w:val="18"/>
              </w:rPr>
            </w:pPr>
            <w:r w:rsidRPr="00090AA7">
              <w:rPr>
                <w:rFonts w:ascii="Times New Roman" w:hAnsi="Times New Roman"/>
                <w:i/>
                <w:iCs/>
                <w:sz w:val="18"/>
                <w:szCs w:val="18"/>
              </w:rPr>
              <w:t xml:space="preserve">[Case E] the case where a CFR is defined based on a configured BWP. </w:t>
            </w:r>
          </w:p>
          <w:p w14:paraId="3EEE555A" w14:textId="77777777" w:rsidR="00090AA7" w:rsidRPr="00090AA7" w:rsidRDefault="00090AA7" w:rsidP="00090AA7">
            <w:pPr>
              <w:pStyle w:val="ListParagraph"/>
              <w:numPr>
                <w:ilvl w:val="1"/>
                <w:numId w:val="46"/>
              </w:numPr>
              <w:overflowPunct w:val="0"/>
              <w:autoSpaceDE w:val="0"/>
              <w:autoSpaceDN w:val="0"/>
              <w:adjustRightInd w:val="0"/>
              <w:ind w:leftChars="0"/>
              <w:textAlignment w:val="baseline"/>
              <w:rPr>
                <w:rFonts w:ascii="Times New Roman" w:hAnsi="Times New Roman"/>
                <w:i/>
                <w:iCs/>
                <w:sz w:val="18"/>
                <w:szCs w:val="18"/>
              </w:rPr>
            </w:pPr>
            <w:r w:rsidRPr="00090AA7">
              <w:rPr>
                <w:rFonts w:ascii="Times New Roman" w:hAnsi="Times New Roman"/>
                <w:i/>
                <w:iCs/>
                <w:sz w:val="18"/>
                <w:szCs w:val="18"/>
              </w:rPr>
              <w:t>In particular, study the following:</w:t>
            </w:r>
          </w:p>
          <w:p w14:paraId="584D2F5E" w14:textId="77777777" w:rsidR="00090AA7" w:rsidRPr="00090AA7" w:rsidRDefault="00090AA7" w:rsidP="00090AA7">
            <w:pPr>
              <w:pStyle w:val="ListParagraph"/>
              <w:numPr>
                <w:ilvl w:val="2"/>
                <w:numId w:val="46"/>
              </w:numPr>
              <w:overflowPunct w:val="0"/>
              <w:autoSpaceDE w:val="0"/>
              <w:autoSpaceDN w:val="0"/>
              <w:adjustRightInd w:val="0"/>
              <w:ind w:leftChars="0"/>
              <w:textAlignment w:val="baseline"/>
              <w:rPr>
                <w:rFonts w:ascii="Times New Roman" w:hAnsi="Times New Roman"/>
                <w:i/>
                <w:iCs/>
                <w:sz w:val="18"/>
                <w:szCs w:val="18"/>
              </w:rPr>
            </w:pPr>
            <w:r w:rsidRPr="00090AA7">
              <w:rPr>
                <w:rFonts w:ascii="Times New Roman" w:hAnsi="Times New Roman"/>
                <w:i/>
                <w:iCs/>
                <w:sz w:val="18"/>
                <w:szCs w:val="18"/>
              </w:rPr>
              <w:t>whether a configured BWP for MBS is needed or not.</w:t>
            </w:r>
          </w:p>
          <w:p w14:paraId="241F028A" w14:textId="77777777" w:rsidR="00090AA7" w:rsidRPr="00090AA7" w:rsidRDefault="00090AA7" w:rsidP="00090AA7">
            <w:pPr>
              <w:pStyle w:val="ListParagraph"/>
              <w:numPr>
                <w:ilvl w:val="2"/>
                <w:numId w:val="46"/>
              </w:numPr>
              <w:overflowPunct w:val="0"/>
              <w:autoSpaceDE w:val="0"/>
              <w:autoSpaceDN w:val="0"/>
              <w:adjustRightInd w:val="0"/>
              <w:ind w:leftChars="0"/>
              <w:textAlignment w:val="baseline"/>
              <w:rPr>
                <w:rFonts w:ascii="Times New Roman" w:hAnsi="Times New Roman"/>
                <w:i/>
                <w:iCs/>
                <w:sz w:val="18"/>
                <w:szCs w:val="18"/>
              </w:rPr>
            </w:pPr>
            <w:r w:rsidRPr="00090AA7">
              <w:rPr>
                <w:rFonts w:ascii="Times New Roman" w:hAnsi="Times New Roman"/>
                <w:i/>
                <w:iCs/>
                <w:sz w:val="18"/>
                <w:szCs w:val="18"/>
              </w:rPr>
              <w:t xml:space="preserve">whether </w:t>
            </w:r>
            <w:r w:rsidRPr="00090AA7">
              <w:rPr>
                <w:rFonts w:ascii="Times New Roman" w:hAnsi="Times New Roman"/>
                <w:i/>
                <w:iCs/>
                <w:sz w:val="18"/>
                <w:szCs w:val="18"/>
                <w:lang w:eastAsia="zh-CN"/>
              </w:rPr>
              <w:t>BWP switching is needed or not.</w:t>
            </w:r>
          </w:p>
          <w:p w14:paraId="54B1365B" w14:textId="77777777" w:rsidR="00090AA7" w:rsidRPr="00090AA7" w:rsidRDefault="00090AA7" w:rsidP="00090AA7">
            <w:pPr>
              <w:pStyle w:val="ListParagraph"/>
              <w:numPr>
                <w:ilvl w:val="1"/>
                <w:numId w:val="46"/>
              </w:numPr>
              <w:overflowPunct w:val="0"/>
              <w:autoSpaceDE w:val="0"/>
              <w:autoSpaceDN w:val="0"/>
              <w:adjustRightInd w:val="0"/>
              <w:ind w:leftChars="0"/>
              <w:textAlignment w:val="baseline"/>
              <w:rPr>
                <w:rFonts w:ascii="Times New Roman" w:hAnsi="Times New Roman"/>
                <w:i/>
                <w:iCs/>
                <w:sz w:val="18"/>
                <w:szCs w:val="18"/>
              </w:rPr>
            </w:pPr>
            <w:r w:rsidRPr="00090AA7">
              <w:rPr>
                <w:rFonts w:ascii="Times New Roman" w:hAnsi="Times New Roman"/>
                <w:i/>
                <w:iCs/>
                <w:sz w:val="18"/>
                <w:szCs w:val="18"/>
              </w:rPr>
              <w:t>In this study, the configured BWP has the following properties:</w:t>
            </w:r>
          </w:p>
          <w:p w14:paraId="2D7F332D" w14:textId="77777777" w:rsidR="00090AA7" w:rsidRPr="00090AA7" w:rsidRDefault="00090AA7" w:rsidP="00090AA7">
            <w:pPr>
              <w:pStyle w:val="ListParagraph"/>
              <w:numPr>
                <w:ilvl w:val="2"/>
                <w:numId w:val="46"/>
              </w:numPr>
              <w:overflowPunct w:val="0"/>
              <w:autoSpaceDE w:val="0"/>
              <w:autoSpaceDN w:val="0"/>
              <w:adjustRightInd w:val="0"/>
              <w:ind w:leftChars="0"/>
              <w:textAlignment w:val="baseline"/>
              <w:rPr>
                <w:rFonts w:ascii="Times New Roman" w:hAnsi="Times New Roman"/>
                <w:i/>
                <w:iCs/>
                <w:sz w:val="18"/>
                <w:szCs w:val="18"/>
              </w:rPr>
            </w:pPr>
            <w:r w:rsidRPr="00090AA7">
              <w:rPr>
                <w:rFonts w:ascii="Times New Roman" w:hAnsi="Times New Roman"/>
                <w:i/>
                <w:iCs/>
                <w:sz w:val="18"/>
                <w:szCs w:val="18"/>
              </w:rPr>
              <w:t xml:space="preserve">The configured BWP is different than the initial BWP where the frequency resources of this initial BWP are configured smaller than the full carrier bandwidth. </w:t>
            </w:r>
          </w:p>
          <w:p w14:paraId="03DB1154" w14:textId="77777777" w:rsidR="00090AA7" w:rsidRPr="00090AA7" w:rsidRDefault="00090AA7" w:rsidP="00090AA7">
            <w:pPr>
              <w:pStyle w:val="ListParagraph"/>
              <w:numPr>
                <w:ilvl w:val="2"/>
                <w:numId w:val="46"/>
              </w:numPr>
              <w:overflowPunct w:val="0"/>
              <w:autoSpaceDE w:val="0"/>
              <w:autoSpaceDN w:val="0"/>
              <w:adjustRightInd w:val="0"/>
              <w:ind w:leftChars="0"/>
              <w:textAlignment w:val="baseline"/>
              <w:rPr>
                <w:rFonts w:ascii="Times New Roman" w:hAnsi="Times New Roman"/>
                <w:i/>
                <w:iCs/>
                <w:sz w:val="18"/>
                <w:szCs w:val="18"/>
              </w:rPr>
            </w:pPr>
            <w:r w:rsidRPr="00090AA7">
              <w:rPr>
                <w:rFonts w:ascii="Times New Roman" w:hAnsi="Times New Roman"/>
                <w:i/>
                <w:iCs/>
                <w:sz w:val="18"/>
                <w:szCs w:val="18"/>
              </w:rPr>
              <w:t>The CFR has the frequency resources identical to the configured BWP.</w:t>
            </w:r>
          </w:p>
          <w:p w14:paraId="06347E0A" w14:textId="77777777" w:rsidR="00090AA7" w:rsidRPr="00090AA7" w:rsidRDefault="00090AA7" w:rsidP="00090AA7">
            <w:pPr>
              <w:pStyle w:val="ListParagraph"/>
              <w:numPr>
                <w:ilvl w:val="2"/>
                <w:numId w:val="46"/>
              </w:numPr>
              <w:overflowPunct w:val="0"/>
              <w:autoSpaceDE w:val="0"/>
              <w:autoSpaceDN w:val="0"/>
              <w:adjustRightInd w:val="0"/>
              <w:ind w:leftChars="0"/>
              <w:textAlignment w:val="baseline"/>
              <w:rPr>
                <w:rFonts w:ascii="Times New Roman" w:hAnsi="Times New Roman"/>
                <w:i/>
                <w:iCs/>
                <w:sz w:val="18"/>
                <w:szCs w:val="18"/>
              </w:rPr>
            </w:pPr>
            <w:r w:rsidRPr="00090AA7">
              <w:rPr>
                <w:rFonts w:ascii="Times New Roman" w:hAnsi="Times New Roman"/>
                <w:i/>
                <w:iCs/>
                <w:sz w:val="18"/>
                <w:szCs w:val="18"/>
              </w:rPr>
              <w:lastRenderedPageBreak/>
              <w:t xml:space="preserve">The configured BWP needs to fully contain the initial BWP in frequency domain and has the same SCS and CP as the initial BWP. </w:t>
            </w:r>
          </w:p>
          <w:p w14:paraId="26D3F3CA" w14:textId="77777777" w:rsidR="00090AA7" w:rsidRPr="00090AA7" w:rsidRDefault="00090AA7" w:rsidP="00090AA7">
            <w:pPr>
              <w:pStyle w:val="ListParagraph"/>
              <w:numPr>
                <w:ilvl w:val="1"/>
                <w:numId w:val="46"/>
              </w:numPr>
              <w:overflowPunct w:val="0"/>
              <w:autoSpaceDE w:val="0"/>
              <w:autoSpaceDN w:val="0"/>
              <w:adjustRightInd w:val="0"/>
              <w:ind w:leftChars="0"/>
              <w:textAlignment w:val="baseline"/>
              <w:rPr>
                <w:rFonts w:ascii="Times New Roman" w:hAnsi="Times New Roman"/>
                <w:i/>
                <w:iCs/>
                <w:sz w:val="18"/>
                <w:szCs w:val="18"/>
              </w:rPr>
            </w:pPr>
            <w:r w:rsidRPr="00090AA7">
              <w:rPr>
                <w:rFonts w:ascii="Times New Roman" w:hAnsi="Times New Roman"/>
                <w:i/>
                <w:iCs/>
                <w:sz w:val="18"/>
                <w:szCs w:val="18"/>
              </w:rPr>
              <w:t>Note: The configured BWP is not larger than the carrier bandwidth</w:t>
            </w:r>
          </w:p>
          <w:p w14:paraId="2C3C6207" w14:textId="77777777" w:rsidR="00090AA7" w:rsidRPr="00090AA7" w:rsidRDefault="00090AA7" w:rsidP="00090AA7">
            <w:pPr>
              <w:pStyle w:val="ListParagraph"/>
              <w:numPr>
                <w:ilvl w:val="0"/>
                <w:numId w:val="46"/>
              </w:numPr>
              <w:overflowPunct w:val="0"/>
              <w:autoSpaceDE w:val="0"/>
              <w:autoSpaceDN w:val="0"/>
              <w:adjustRightInd w:val="0"/>
              <w:ind w:leftChars="0"/>
              <w:textAlignment w:val="baseline"/>
              <w:rPr>
                <w:rFonts w:ascii="Times New Roman" w:hAnsi="Times New Roman"/>
                <w:i/>
                <w:iCs/>
                <w:sz w:val="18"/>
                <w:szCs w:val="18"/>
              </w:rPr>
            </w:pPr>
            <w:r w:rsidRPr="00090AA7">
              <w:rPr>
                <w:rFonts w:ascii="Times New Roman" w:hAnsi="Times New Roman"/>
                <w:i/>
                <w:iCs/>
                <w:sz w:val="18"/>
                <w:szCs w:val="18"/>
              </w:rPr>
              <w:t>the case where the initial BWP fully contains the CFR in the frequency domain.</w:t>
            </w:r>
          </w:p>
          <w:p w14:paraId="238971A0" w14:textId="77777777" w:rsidR="00090AA7" w:rsidRPr="00090AA7" w:rsidRDefault="00090AA7" w:rsidP="00090AA7">
            <w:pPr>
              <w:pStyle w:val="ListParagraph"/>
              <w:numPr>
                <w:ilvl w:val="1"/>
                <w:numId w:val="46"/>
              </w:numPr>
              <w:overflowPunct w:val="0"/>
              <w:autoSpaceDE w:val="0"/>
              <w:autoSpaceDN w:val="0"/>
              <w:adjustRightInd w:val="0"/>
              <w:ind w:leftChars="0"/>
              <w:textAlignment w:val="baseline"/>
              <w:rPr>
                <w:rFonts w:ascii="Times New Roman" w:hAnsi="Times New Roman"/>
                <w:i/>
                <w:iCs/>
                <w:sz w:val="18"/>
                <w:szCs w:val="18"/>
              </w:rPr>
            </w:pPr>
            <w:r w:rsidRPr="00090AA7">
              <w:rPr>
                <w:rFonts w:ascii="Times New Roman" w:hAnsi="Times New Roman"/>
                <w:i/>
                <w:iCs/>
                <w:sz w:val="18"/>
                <w:szCs w:val="18"/>
              </w:rPr>
              <w:t>In this study the following sub-cases are considered:</w:t>
            </w:r>
          </w:p>
          <w:p w14:paraId="6AD8BAC0" w14:textId="77777777" w:rsidR="00090AA7" w:rsidRPr="00090AA7" w:rsidRDefault="00090AA7" w:rsidP="00090AA7">
            <w:pPr>
              <w:numPr>
                <w:ilvl w:val="2"/>
                <w:numId w:val="46"/>
              </w:numPr>
              <w:overflowPunct w:val="0"/>
              <w:autoSpaceDE w:val="0"/>
              <w:autoSpaceDN w:val="0"/>
              <w:adjustRightInd w:val="0"/>
              <w:jc w:val="left"/>
              <w:textAlignment w:val="baseline"/>
              <w:rPr>
                <w:rFonts w:ascii="Times New Roman" w:hAnsi="Times New Roman" w:cs="Times New Roman"/>
                <w:i/>
                <w:iCs/>
                <w:sz w:val="18"/>
                <w:szCs w:val="18"/>
              </w:rPr>
            </w:pPr>
            <w:r w:rsidRPr="00090AA7">
              <w:rPr>
                <w:rFonts w:ascii="Times New Roman" w:hAnsi="Times New Roman" w:cs="Times New Roman"/>
                <w:i/>
                <w:iCs/>
                <w:sz w:val="18"/>
                <w:szCs w:val="18"/>
              </w:rPr>
              <w:t>[Case B] A CFR with smaller size than the initial BWP, where the initial BWP has the same frequency resources as CORESET0. In this case the CFR has the frequency resources confined within the initial BWP and have the same SCS and CP as the initial BWP.</w:t>
            </w:r>
          </w:p>
          <w:p w14:paraId="1781375C" w14:textId="77777777" w:rsidR="00090AA7" w:rsidRPr="00090AA7" w:rsidRDefault="00090AA7" w:rsidP="00090AA7">
            <w:pPr>
              <w:numPr>
                <w:ilvl w:val="2"/>
                <w:numId w:val="46"/>
              </w:numPr>
              <w:overflowPunct w:val="0"/>
              <w:autoSpaceDE w:val="0"/>
              <w:autoSpaceDN w:val="0"/>
              <w:adjustRightInd w:val="0"/>
              <w:jc w:val="left"/>
              <w:textAlignment w:val="baseline"/>
              <w:rPr>
                <w:rFonts w:ascii="Times New Roman" w:hAnsi="Times New Roman" w:cs="Times New Roman"/>
                <w:i/>
                <w:iCs/>
                <w:sz w:val="18"/>
                <w:szCs w:val="18"/>
              </w:rPr>
            </w:pPr>
            <w:r w:rsidRPr="00090AA7">
              <w:rPr>
                <w:rFonts w:ascii="Times New Roman" w:hAnsi="Times New Roman" w:cs="Times New Roman"/>
                <w:i/>
                <w:iCs/>
                <w:sz w:val="18"/>
                <w:szCs w:val="18"/>
              </w:rPr>
              <w:t>[Case D] A CFR with smaller size than the initial BWP, where the initial BWP has the frequency resources configured by SIB1. In this case the CFR has the frequency resources confined within the initial BWP and have the same SCS and CP as the initial BWP.</w:t>
            </w:r>
          </w:p>
          <w:p w14:paraId="53359592" w14:textId="77777777" w:rsidR="00090AA7" w:rsidRPr="00090AA7" w:rsidRDefault="00090AA7" w:rsidP="00090AA7">
            <w:pPr>
              <w:pStyle w:val="ListParagraph"/>
              <w:numPr>
                <w:ilvl w:val="1"/>
                <w:numId w:val="46"/>
              </w:numPr>
              <w:overflowPunct w:val="0"/>
              <w:autoSpaceDE w:val="0"/>
              <w:autoSpaceDN w:val="0"/>
              <w:adjustRightInd w:val="0"/>
              <w:ind w:leftChars="0"/>
              <w:textAlignment w:val="baseline"/>
              <w:rPr>
                <w:rFonts w:ascii="Times New Roman" w:hAnsi="Times New Roman"/>
                <w:i/>
                <w:iCs/>
                <w:sz w:val="18"/>
                <w:szCs w:val="18"/>
              </w:rPr>
            </w:pPr>
            <w:r w:rsidRPr="00090AA7">
              <w:rPr>
                <w:rFonts w:ascii="Times New Roman" w:hAnsi="Times New Roman"/>
                <w:i/>
                <w:iCs/>
                <w:sz w:val="18"/>
                <w:szCs w:val="18"/>
              </w:rPr>
              <w:t>In particular, study the following:</w:t>
            </w:r>
          </w:p>
          <w:p w14:paraId="49B7D103" w14:textId="77777777" w:rsidR="00090AA7" w:rsidRPr="00090AA7" w:rsidRDefault="00090AA7" w:rsidP="00090AA7">
            <w:pPr>
              <w:pStyle w:val="ListParagraph"/>
              <w:numPr>
                <w:ilvl w:val="2"/>
                <w:numId w:val="46"/>
              </w:numPr>
              <w:overflowPunct w:val="0"/>
              <w:autoSpaceDE w:val="0"/>
              <w:autoSpaceDN w:val="0"/>
              <w:adjustRightInd w:val="0"/>
              <w:ind w:leftChars="0"/>
              <w:textAlignment w:val="baseline"/>
              <w:rPr>
                <w:rFonts w:ascii="Times New Roman" w:hAnsi="Times New Roman"/>
                <w:i/>
                <w:iCs/>
                <w:sz w:val="18"/>
                <w:szCs w:val="18"/>
              </w:rPr>
            </w:pPr>
            <w:r w:rsidRPr="00090AA7">
              <w:rPr>
                <w:rFonts w:ascii="Times New Roman" w:hAnsi="Times New Roman"/>
                <w:i/>
                <w:iCs/>
                <w:sz w:val="18"/>
                <w:szCs w:val="18"/>
              </w:rPr>
              <w:t>Whether the considered two options with a CFR with smaller size than the initial BWP are needed or not for MBS.</w:t>
            </w:r>
          </w:p>
          <w:p w14:paraId="2BDA4B2A" w14:textId="77777777" w:rsidR="00090AA7" w:rsidRPr="00090AA7" w:rsidRDefault="00090AA7" w:rsidP="00090AA7">
            <w:pPr>
              <w:pStyle w:val="ListParagraph"/>
              <w:numPr>
                <w:ilvl w:val="0"/>
                <w:numId w:val="46"/>
              </w:numPr>
              <w:overflowPunct w:val="0"/>
              <w:autoSpaceDE w:val="0"/>
              <w:autoSpaceDN w:val="0"/>
              <w:adjustRightInd w:val="0"/>
              <w:ind w:leftChars="0"/>
              <w:textAlignment w:val="baseline"/>
              <w:rPr>
                <w:rFonts w:ascii="Times New Roman" w:hAnsi="Times New Roman"/>
                <w:i/>
                <w:iCs/>
                <w:sz w:val="18"/>
                <w:szCs w:val="18"/>
              </w:rPr>
            </w:pPr>
            <w:r w:rsidRPr="00090AA7">
              <w:rPr>
                <w:rFonts w:ascii="Times New Roman" w:hAnsi="Times New Roman"/>
                <w:i/>
                <w:iCs/>
                <w:sz w:val="18"/>
                <w:szCs w:val="18"/>
              </w:rPr>
              <w:t xml:space="preserve">the case where the initial BWP has same size as the CFR in the frequency domain. </w:t>
            </w:r>
          </w:p>
          <w:p w14:paraId="70825363" w14:textId="77777777" w:rsidR="00090AA7" w:rsidRPr="00090AA7" w:rsidRDefault="00090AA7" w:rsidP="00090AA7">
            <w:pPr>
              <w:pStyle w:val="ListParagraph"/>
              <w:numPr>
                <w:ilvl w:val="1"/>
                <w:numId w:val="46"/>
              </w:numPr>
              <w:overflowPunct w:val="0"/>
              <w:autoSpaceDE w:val="0"/>
              <w:autoSpaceDN w:val="0"/>
              <w:adjustRightInd w:val="0"/>
              <w:ind w:leftChars="0"/>
              <w:textAlignment w:val="baseline"/>
              <w:rPr>
                <w:rFonts w:ascii="Times New Roman" w:hAnsi="Times New Roman"/>
                <w:i/>
                <w:iCs/>
                <w:sz w:val="18"/>
                <w:szCs w:val="18"/>
              </w:rPr>
            </w:pPr>
            <w:r w:rsidRPr="00090AA7">
              <w:rPr>
                <w:rFonts w:ascii="Times New Roman" w:hAnsi="Times New Roman"/>
                <w:i/>
                <w:iCs/>
                <w:sz w:val="18"/>
                <w:szCs w:val="18"/>
              </w:rPr>
              <w:t>In this study the following two sub-cases are considered:</w:t>
            </w:r>
          </w:p>
          <w:p w14:paraId="52C5E198" w14:textId="77777777" w:rsidR="00090AA7" w:rsidRPr="00090AA7" w:rsidRDefault="00090AA7" w:rsidP="00090AA7">
            <w:pPr>
              <w:pStyle w:val="ListParagraph"/>
              <w:numPr>
                <w:ilvl w:val="2"/>
                <w:numId w:val="46"/>
              </w:numPr>
              <w:overflowPunct w:val="0"/>
              <w:autoSpaceDE w:val="0"/>
              <w:autoSpaceDN w:val="0"/>
              <w:adjustRightInd w:val="0"/>
              <w:ind w:leftChars="0"/>
              <w:textAlignment w:val="baseline"/>
              <w:rPr>
                <w:rFonts w:ascii="Times New Roman" w:hAnsi="Times New Roman"/>
                <w:i/>
                <w:iCs/>
                <w:sz w:val="18"/>
                <w:szCs w:val="18"/>
              </w:rPr>
            </w:pPr>
            <w:r w:rsidRPr="00090AA7">
              <w:rPr>
                <w:rFonts w:ascii="Times New Roman" w:hAnsi="Times New Roman"/>
                <w:i/>
                <w:iCs/>
                <w:sz w:val="18"/>
                <w:szCs w:val="18"/>
              </w:rPr>
              <w:t>[Case A] A CFR with the same size as the initial BWP, where the initial BWP has the same frequency resources as CORESET0. In this case the CFR has the same frequency resources and same SCS and CP as the initial BWP.</w:t>
            </w:r>
          </w:p>
          <w:p w14:paraId="0C6C5BF7" w14:textId="77777777" w:rsidR="00090AA7" w:rsidRPr="00090AA7" w:rsidRDefault="00090AA7" w:rsidP="00090AA7">
            <w:pPr>
              <w:pStyle w:val="ListParagraph"/>
              <w:numPr>
                <w:ilvl w:val="2"/>
                <w:numId w:val="46"/>
              </w:numPr>
              <w:overflowPunct w:val="0"/>
              <w:autoSpaceDE w:val="0"/>
              <w:autoSpaceDN w:val="0"/>
              <w:adjustRightInd w:val="0"/>
              <w:ind w:leftChars="0"/>
              <w:textAlignment w:val="baseline"/>
              <w:rPr>
                <w:rFonts w:ascii="Times New Roman" w:hAnsi="Times New Roman"/>
                <w:i/>
                <w:iCs/>
                <w:sz w:val="18"/>
                <w:szCs w:val="18"/>
              </w:rPr>
            </w:pPr>
            <w:r w:rsidRPr="00090AA7">
              <w:rPr>
                <w:rFonts w:ascii="Times New Roman" w:hAnsi="Times New Roman"/>
                <w:i/>
                <w:iCs/>
                <w:sz w:val="18"/>
                <w:szCs w:val="18"/>
              </w:rPr>
              <w:t>[Case C] A CFR with same size as the initial BWP, where the initial BWP has the frequency resources configured by SIB1. In this case the CFR has the same frequency resources and same SCS and CP as the initial BWP.</w:t>
            </w:r>
          </w:p>
          <w:p w14:paraId="3410BABE" w14:textId="77777777" w:rsidR="00090AA7" w:rsidRPr="00090AA7" w:rsidRDefault="00090AA7" w:rsidP="00090AA7">
            <w:pPr>
              <w:pStyle w:val="ListParagraph"/>
              <w:numPr>
                <w:ilvl w:val="1"/>
                <w:numId w:val="46"/>
              </w:numPr>
              <w:overflowPunct w:val="0"/>
              <w:autoSpaceDE w:val="0"/>
              <w:autoSpaceDN w:val="0"/>
              <w:adjustRightInd w:val="0"/>
              <w:ind w:leftChars="0"/>
              <w:textAlignment w:val="baseline"/>
              <w:rPr>
                <w:rFonts w:ascii="Times New Roman" w:hAnsi="Times New Roman"/>
                <w:i/>
                <w:iCs/>
                <w:sz w:val="18"/>
                <w:szCs w:val="18"/>
              </w:rPr>
            </w:pPr>
            <w:r w:rsidRPr="00090AA7">
              <w:rPr>
                <w:rFonts w:ascii="Times New Roman" w:hAnsi="Times New Roman"/>
                <w:i/>
                <w:iCs/>
                <w:sz w:val="18"/>
                <w:szCs w:val="18"/>
              </w:rPr>
              <w:t>In particular, study the following:</w:t>
            </w:r>
          </w:p>
          <w:p w14:paraId="42B9B176" w14:textId="00A91246" w:rsidR="00090AA7" w:rsidRPr="00090AA7" w:rsidRDefault="00090AA7" w:rsidP="00090AA7">
            <w:pPr>
              <w:pStyle w:val="ListParagraph"/>
              <w:numPr>
                <w:ilvl w:val="2"/>
                <w:numId w:val="46"/>
              </w:numPr>
              <w:overflowPunct w:val="0"/>
              <w:autoSpaceDE w:val="0"/>
              <w:autoSpaceDN w:val="0"/>
              <w:adjustRightInd w:val="0"/>
              <w:ind w:leftChars="0"/>
              <w:textAlignment w:val="baseline"/>
              <w:rPr>
                <w:rFonts w:ascii="Times New Roman" w:hAnsi="Times New Roman"/>
                <w:i/>
                <w:iCs/>
                <w:sz w:val="18"/>
                <w:szCs w:val="18"/>
              </w:rPr>
            </w:pPr>
            <w:r w:rsidRPr="00090AA7">
              <w:rPr>
                <w:rFonts w:ascii="Times New Roman" w:hAnsi="Times New Roman"/>
                <w:i/>
                <w:iCs/>
                <w:sz w:val="18"/>
                <w:szCs w:val="18"/>
              </w:rPr>
              <w:t>Whether the considered two options with a CFR with the same size as the initial BWP are needed or not for MBS.</w:t>
            </w:r>
          </w:p>
        </w:tc>
      </w:tr>
    </w:tbl>
    <w:p w14:paraId="40CBD537" w14:textId="3B11F8DD" w:rsidR="007D6779" w:rsidRDefault="007D6779" w:rsidP="007D6779">
      <w:pPr>
        <w:pStyle w:val="BodyText"/>
        <w:spacing w:before="120" w:after="120"/>
        <w:rPr>
          <w:color w:val="000000" w:themeColor="text1"/>
          <w:sz w:val="20"/>
          <w:szCs w:val="20"/>
        </w:rPr>
      </w:pPr>
      <w:r>
        <w:rPr>
          <w:color w:val="000000" w:themeColor="text1"/>
          <w:sz w:val="20"/>
          <w:szCs w:val="20"/>
        </w:rPr>
        <w:lastRenderedPageBreak/>
        <w:t>In this contribution, we provide discussions and our views on the following aspects of IDLE and INACTIVE UE operation for MBS reception.</w:t>
      </w:r>
    </w:p>
    <w:p w14:paraId="3B851B84" w14:textId="3045DF9A" w:rsidR="00571873" w:rsidRDefault="00571873" w:rsidP="00571873">
      <w:pPr>
        <w:pStyle w:val="BodyText"/>
        <w:numPr>
          <w:ilvl w:val="0"/>
          <w:numId w:val="46"/>
        </w:numPr>
        <w:spacing w:before="120" w:after="120"/>
        <w:rPr>
          <w:color w:val="000000" w:themeColor="text1"/>
          <w:sz w:val="20"/>
          <w:szCs w:val="20"/>
        </w:rPr>
      </w:pPr>
      <w:r>
        <w:rPr>
          <w:color w:val="000000" w:themeColor="text1"/>
          <w:sz w:val="20"/>
          <w:szCs w:val="20"/>
        </w:rPr>
        <w:t>Common frequency resource (CFR)</w:t>
      </w:r>
    </w:p>
    <w:p w14:paraId="3E97DFD6" w14:textId="0DDBF620" w:rsidR="00571873" w:rsidRDefault="00571873" w:rsidP="00571873">
      <w:pPr>
        <w:pStyle w:val="BodyText"/>
        <w:numPr>
          <w:ilvl w:val="0"/>
          <w:numId w:val="46"/>
        </w:numPr>
        <w:spacing w:before="120" w:after="120"/>
        <w:rPr>
          <w:color w:val="000000" w:themeColor="text1"/>
          <w:sz w:val="20"/>
          <w:szCs w:val="20"/>
        </w:rPr>
      </w:pPr>
      <w:r>
        <w:rPr>
          <w:color w:val="000000" w:themeColor="text1"/>
          <w:sz w:val="20"/>
          <w:szCs w:val="20"/>
        </w:rPr>
        <w:t>MBS broadcast reception in beam sweeping</w:t>
      </w:r>
    </w:p>
    <w:p w14:paraId="4A7DD29C" w14:textId="6666E362" w:rsidR="00571873" w:rsidRDefault="00571873" w:rsidP="00571873">
      <w:pPr>
        <w:pStyle w:val="BodyText"/>
        <w:numPr>
          <w:ilvl w:val="0"/>
          <w:numId w:val="46"/>
        </w:numPr>
        <w:spacing w:before="120" w:after="120"/>
        <w:rPr>
          <w:color w:val="000000" w:themeColor="text1"/>
          <w:sz w:val="20"/>
          <w:szCs w:val="20"/>
        </w:rPr>
      </w:pPr>
      <w:r>
        <w:rPr>
          <w:color w:val="000000" w:themeColor="text1"/>
          <w:sz w:val="20"/>
          <w:szCs w:val="20"/>
        </w:rPr>
        <w:t>HARQ feedback support for IDLE and INACTIVE UEs</w:t>
      </w:r>
    </w:p>
    <w:p w14:paraId="386CA624" w14:textId="77777777" w:rsidR="00571873" w:rsidRDefault="00571873" w:rsidP="007D6779">
      <w:pPr>
        <w:pStyle w:val="BodyText"/>
        <w:spacing w:before="120" w:after="120"/>
        <w:rPr>
          <w:color w:val="000000" w:themeColor="text1"/>
          <w:sz w:val="20"/>
          <w:szCs w:val="20"/>
        </w:rPr>
      </w:pPr>
    </w:p>
    <w:p w14:paraId="2DDFB004" w14:textId="345D2B24" w:rsidR="00BC0557" w:rsidRDefault="00BC0557" w:rsidP="00BC0557">
      <w:pPr>
        <w:spacing w:after="120"/>
        <w:rPr>
          <w:b/>
          <w:sz w:val="20"/>
          <w:szCs w:val="20"/>
        </w:rPr>
      </w:pPr>
      <w:r w:rsidRPr="00542EDE">
        <w:rPr>
          <w:b/>
          <w:sz w:val="20"/>
          <w:szCs w:val="20"/>
        </w:rPr>
        <w:t xml:space="preserve">2. </w:t>
      </w:r>
      <w:r w:rsidR="007E3686">
        <w:rPr>
          <w:b/>
          <w:sz w:val="20"/>
          <w:szCs w:val="20"/>
        </w:rPr>
        <w:t>Discussions</w:t>
      </w:r>
    </w:p>
    <w:p w14:paraId="045B13AD" w14:textId="1F35CD22" w:rsidR="00EA298F" w:rsidRPr="00BA2C37" w:rsidRDefault="00EA298F" w:rsidP="009C6D95">
      <w:pPr>
        <w:spacing w:after="120"/>
        <w:rPr>
          <w:color w:val="000000" w:themeColor="text1"/>
          <w:sz w:val="20"/>
          <w:u w:val="single"/>
        </w:rPr>
      </w:pPr>
      <w:r w:rsidRPr="00BA2C37">
        <w:rPr>
          <w:color w:val="000000" w:themeColor="text1"/>
          <w:sz w:val="20"/>
          <w:u w:val="single"/>
        </w:rPr>
        <w:t>2.1 Common frequency resources for idle and inactive UEs</w:t>
      </w:r>
    </w:p>
    <w:p w14:paraId="1701D9E3" w14:textId="77777777" w:rsidR="00DA3053" w:rsidRDefault="009E01F4" w:rsidP="00FB4480">
      <w:pPr>
        <w:spacing w:after="120"/>
        <w:rPr>
          <w:color w:val="000000" w:themeColor="text1"/>
          <w:sz w:val="20"/>
        </w:rPr>
      </w:pPr>
      <w:r w:rsidRPr="009E01F4">
        <w:rPr>
          <w:color w:val="000000" w:themeColor="text1"/>
          <w:sz w:val="20"/>
        </w:rPr>
        <w:t>In RAN1#104-e meeting,</w:t>
      </w:r>
      <w:r>
        <w:rPr>
          <w:color w:val="000000" w:themeColor="text1"/>
          <w:sz w:val="20"/>
        </w:rPr>
        <w:t xml:space="preserve"> 5 </w:t>
      </w:r>
      <w:r>
        <w:rPr>
          <w:rFonts w:hint="eastAsia"/>
          <w:color w:val="000000" w:themeColor="text1"/>
          <w:sz w:val="20"/>
        </w:rPr>
        <w:t>Case</w:t>
      </w:r>
      <w:r>
        <w:rPr>
          <w:color w:val="000000" w:themeColor="text1"/>
          <w:sz w:val="20"/>
        </w:rPr>
        <w:t xml:space="preserve">s of </w:t>
      </w:r>
      <w:r w:rsidRPr="009E01F4">
        <w:rPr>
          <w:color w:val="000000" w:themeColor="text1"/>
          <w:sz w:val="20"/>
        </w:rPr>
        <w:t>a configured/defined specific common frequency resource (CFR) for group-common PDCCH/PDSCH</w:t>
      </w:r>
      <w:r>
        <w:rPr>
          <w:color w:val="000000" w:themeColor="text1"/>
          <w:sz w:val="20"/>
        </w:rPr>
        <w:t xml:space="preserve"> are</w:t>
      </w:r>
      <w:r w:rsidRPr="009E01F4">
        <w:t xml:space="preserve"> </w:t>
      </w:r>
      <w:r>
        <w:t xml:space="preserve">agreed for </w:t>
      </w:r>
      <w:r w:rsidRPr="009E01F4">
        <w:rPr>
          <w:color w:val="000000" w:themeColor="text1"/>
          <w:sz w:val="20"/>
        </w:rPr>
        <w:t>further study.</w:t>
      </w:r>
      <w:r w:rsidR="0036064B">
        <w:rPr>
          <w:color w:val="000000" w:themeColor="text1"/>
          <w:sz w:val="20"/>
        </w:rPr>
        <w:t xml:space="preserve"> </w:t>
      </w:r>
    </w:p>
    <w:p w14:paraId="3FBF426E" w14:textId="4111201F" w:rsidR="00DA3053" w:rsidRDefault="00DA3053" w:rsidP="00FB4480">
      <w:pPr>
        <w:spacing w:after="120"/>
        <w:rPr>
          <w:color w:val="000000" w:themeColor="text1"/>
          <w:sz w:val="20"/>
        </w:rPr>
      </w:pPr>
    </w:p>
    <w:p w14:paraId="490A1882" w14:textId="319275CF" w:rsidR="00DA3053" w:rsidRDefault="00DA3053" w:rsidP="00FB4480">
      <w:pPr>
        <w:spacing w:after="120"/>
        <w:rPr>
          <w:color w:val="000000" w:themeColor="text1"/>
          <w:sz w:val="20"/>
        </w:rPr>
      </w:pPr>
      <w:r>
        <w:rPr>
          <w:rFonts w:hint="eastAsia"/>
          <w:color w:val="000000" w:themeColor="text1"/>
          <w:sz w:val="20"/>
        </w:rPr>
        <w:t>F</w:t>
      </w:r>
      <w:r>
        <w:rPr>
          <w:color w:val="000000" w:themeColor="text1"/>
          <w:sz w:val="20"/>
        </w:rPr>
        <w:t xml:space="preserve">irstly, in our view Case B and Case D should not be supported, there is no need to configure CFR </w:t>
      </w:r>
      <w:r w:rsidR="00B73C8F">
        <w:rPr>
          <w:color w:val="000000" w:themeColor="text1"/>
          <w:sz w:val="20"/>
        </w:rPr>
        <w:t>with a size</w:t>
      </w:r>
      <w:r>
        <w:rPr>
          <w:color w:val="000000" w:themeColor="text1"/>
          <w:sz w:val="20"/>
        </w:rPr>
        <w:t xml:space="preserve"> smaller than initial BWP (CORESET#0 or initial BWP configured by SIB1).</w:t>
      </w:r>
    </w:p>
    <w:p w14:paraId="6748A951" w14:textId="77777777" w:rsidR="000B5449" w:rsidRDefault="000B5449" w:rsidP="000B5449">
      <w:pPr>
        <w:spacing w:after="120"/>
        <w:rPr>
          <w:b/>
          <w:bCs/>
          <w:i/>
          <w:iCs/>
          <w:color w:val="FF0000"/>
          <w:highlight w:val="yellow"/>
        </w:rPr>
      </w:pPr>
    </w:p>
    <w:p w14:paraId="3B1A0C01" w14:textId="3AF183CF" w:rsidR="000B5449" w:rsidRPr="00BA2C37" w:rsidRDefault="000B5449" w:rsidP="000B5449">
      <w:pPr>
        <w:spacing w:after="120"/>
        <w:rPr>
          <w:b/>
          <w:bCs/>
          <w:i/>
          <w:iCs/>
          <w:color w:val="000000" w:themeColor="text1"/>
        </w:rPr>
      </w:pPr>
      <w:r w:rsidRPr="00BA2C37">
        <w:rPr>
          <w:b/>
          <w:bCs/>
          <w:i/>
          <w:iCs/>
          <w:color w:val="000000" w:themeColor="text1"/>
        </w:rPr>
        <w:t xml:space="preserve">Proposal </w:t>
      </w:r>
      <w:r w:rsidR="00D04379" w:rsidRPr="00BA2C37">
        <w:rPr>
          <w:b/>
          <w:bCs/>
          <w:i/>
          <w:iCs/>
          <w:color w:val="000000" w:themeColor="text1"/>
        </w:rPr>
        <w:t>1</w:t>
      </w:r>
      <w:r w:rsidRPr="00BA2C37">
        <w:rPr>
          <w:b/>
          <w:bCs/>
          <w:i/>
          <w:iCs/>
          <w:color w:val="000000" w:themeColor="text1"/>
        </w:rPr>
        <w:t xml:space="preserve">: For RRC_IDLE/RRC_INACTIVE UEs, for broadcast reception, Case B and Case D are </w:t>
      </w:r>
      <w:r w:rsidRPr="00BA2C37">
        <w:rPr>
          <w:rFonts w:hint="eastAsia"/>
          <w:b/>
          <w:bCs/>
          <w:i/>
          <w:iCs/>
          <w:color w:val="000000" w:themeColor="text1"/>
        </w:rPr>
        <w:t>NOT</w:t>
      </w:r>
      <w:r w:rsidRPr="00BA2C37">
        <w:rPr>
          <w:b/>
          <w:bCs/>
          <w:i/>
          <w:iCs/>
          <w:color w:val="000000" w:themeColor="text1"/>
        </w:rPr>
        <w:t xml:space="preserve"> supported.</w:t>
      </w:r>
    </w:p>
    <w:p w14:paraId="5ABE6163" w14:textId="54AAEEFA" w:rsidR="000B5449" w:rsidRPr="000B5449" w:rsidRDefault="000B5449" w:rsidP="00FB4480">
      <w:pPr>
        <w:spacing w:after="120"/>
        <w:rPr>
          <w:color w:val="000000" w:themeColor="text1"/>
          <w:sz w:val="20"/>
        </w:rPr>
      </w:pPr>
    </w:p>
    <w:p w14:paraId="16AB8EEA" w14:textId="62C1FDC1" w:rsidR="00BA4EA1" w:rsidRDefault="0036064B" w:rsidP="00FB4480">
      <w:pPr>
        <w:spacing w:after="120"/>
        <w:rPr>
          <w:color w:val="000000" w:themeColor="text1"/>
          <w:sz w:val="20"/>
        </w:rPr>
      </w:pPr>
      <w:r>
        <w:rPr>
          <w:color w:val="000000" w:themeColor="text1"/>
          <w:sz w:val="20"/>
        </w:rPr>
        <w:t>In</w:t>
      </w:r>
      <w:r w:rsidR="009E01F4">
        <w:rPr>
          <w:color w:val="000000" w:themeColor="text1"/>
          <w:sz w:val="20"/>
        </w:rPr>
        <w:t xml:space="preserve"> </w:t>
      </w:r>
      <w:r>
        <w:rPr>
          <w:color w:val="000000" w:themeColor="text1"/>
          <w:sz w:val="20"/>
        </w:rPr>
        <w:t>Case A, a CFR is with equal or small</w:t>
      </w:r>
      <w:r w:rsidR="00DC13D4">
        <w:rPr>
          <w:color w:val="000000" w:themeColor="text1"/>
          <w:sz w:val="20"/>
        </w:rPr>
        <w:t>er</w:t>
      </w:r>
      <w:r>
        <w:rPr>
          <w:color w:val="000000" w:themeColor="text1"/>
          <w:sz w:val="20"/>
        </w:rPr>
        <w:t xml:space="preserve"> size as COREST#0</w:t>
      </w:r>
      <w:r w:rsidR="002F3528">
        <w:rPr>
          <w:color w:val="000000" w:themeColor="text1"/>
          <w:sz w:val="20"/>
        </w:rPr>
        <w:t xml:space="preserve">. As CORESET#0 is designed for initial access and the maximum size is only 96 PRBs, it is not desirable to restrict </w:t>
      </w:r>
      <w:r w:rsidR="00E37779">
        <w:rPr>
          <w:color w:val="000000" w:themeColor="text1"/>
          <w:sz w:val="20"/>
        </w:rPr>
        <w:t>broadcast</w:t>
      </w:r>
      <w:r w:rsidR="002F3528">
        <w:rPr>
          <w:color w:val="000000" w:themeColor="text1"/>
          <w:sz w:val="20"/>
        </w:rPr>
        <w:t xml:space="preserve"> transmission within CORESET#0</w:t>
      </w:r>
      <w:r w:rsidR="00DC13D4">
        <w:rPr>
          <w:color w:val="000000" w:themeColor="text1"/>
          <w:sz w:val="20"/>
        </w:rPr>
        <w:t xml:space="preserve"> due to its limited capacity</w:t>
      </w:r>
      <w:r w:rsidR="002F3528">
        <w:rPr>
          <w:color w:val="000000" w:themeColor="text1"/>
          <w:sz w:val="20"/>
        </w:rPr>
        <w:t>.</w:t>
      </w:r>
      <w:r w:rsidR="00DC13D4">
        <w:rPr>
          <w:color w:val="000000" w:themeColor="text1"/>
          <w:sz w:val="20"/>
        </w:rPr>
        <w:t xml:space="preserve"> In Case C, a CFR is with equal or smaller size as initial BWP configured by SIB1. However, in Rel-16 and before, initial BWP is not a mandatory configuration in SIB1. </w:t>
      </w:r>
      <w:r w:rsidR="00751DBE">
        <w:rPr>
          <w:color w:val="000000" w:themeColor="text1"/>
          <w:sz w:val="20"/>
        </w:rPr>
        <w:t xml:space="preserve">If CFR is linked with the initial BWP configured by SIB, it means that in a cell supporting MBS initial BWP has to be configured by SIB1. This could cause more power consumption for the UEs not receiving MBS, which may not be acceptable for the power consumption sensitive UEs. </w:t>
      </w:r>
      <w:r w:rsidR="00B45046">
        <w:rPr>
          <w:color w:val="000000" w:themeColor="text1"/>
          <w:sz w:val="20"/>
        </w:rPr>
        <w:t>Hence, Case C should not be used if DL initial BWP is not configured in a cell.</w:t>
      </w:r>
      <w:r w:rsidR="00DA3053">
        <w:rPr>
          <w:color w:val="000000" w:themeColor="text1"/>
          <w:sz w:val="20"/>
        </w:rPr>
        <w:t xml:space="preserve"> </w:t>
      </w:r>
    </w:p>
    <w:p w14:paraId="7A92A7C6" w14:textId="77777777" w:rsidR="00BA4EA1" w:rsidRDefault="00BA4EA1" w:rsidP="00FB4480">
      <w:pPr>
        <w:spacing w:after="120"/>
        <w:rPr>
          <w:color w:val="000000" w:themeColor="text1"/>
          <w:sz w:val="20"/>
        </w:rPr>
      </w:pPr>
    </w:p>
    <w:tbl>
      <w:tblPr>
        <w:tblStyle w:val="TableGrid"/>
        <w:tblW w:w="0" w:type="auto"/>
        <w:tblLook w:val="04A0" w:firstRow="1" w:lastRow="0" w:firstColumn="1" w:lastColumn="0" w:noHBand="0" w:noVBand="1"/>
      </w:tblPr>
      <w:tblGrid>
        <w:gridCol w:w="9016"/>
      </w:tblGrid>
      <w:tr w:rsidR="00EE7133" w14:paraId="1DF0D88F" w14:textId="77777777" w:rsidTr="00EE7133">
        <w:tc>
          <w:tcPr>
            <w:tcW w:w="9016" w:type="dxa"/>
          </w:tcPr>
          <w:p w14:paraId="1318E857" w14:textId="6B8D074F" w:rsidR="00EE7133" w:rsidRPr="00EE7133" w:rsidRDefault="00FB4480" w:rsidP="00EE7133">
            <w:pPr>
              <w:rPr>
                <w:rFonts w:ascii="SimSun" w:hAnsi="SimSun" w:cs="SimSun"/>
                <w:sz w:val="24"/>
                <w:szCs w:val="24"/>
                <w:lang w:val="en-US"/>
              </w:rPr>
            </w:pPr>
            <w:r>
              <w:rPr>
                <w:color w:val="000000" w:themeColor="text1"/>
                <w:sz w:val="20"/>
              </w:rPr>
              <w:t xml:space="preserve">In Case E, a separate BWP is configured as CFR, this BWP has to be activated for a UE receiving broadcast if the size of the </w:t>
            </w:r>
            <w:r w:rsidR="00D751C0">
              <w:rPr>
                <w:color w:val="000000" w:themeColor="text1"/>
                <w:sz w:val="20"/>
              </w:rPr>
              <w:t>BWP is larger than initial BWP (i.e., CORESET#0 or initial DL BWP configured by SIB1).</w:t>
            </w:r>
            <w:r w:rsidR="00EE7133">
              <w:rPr>
                <w:color w:val="000000" w:themeColor="text1"/>
                <w:sz w:val="20"/>
              </w:rPr>
              <w:t xml:space="preserve"> If initial BWP is not configured by SIB1, as the separate BWP is supposed to </w:t>
            </w:r>
            <w:r w:rsidR="00EE7133">
              <w:rPr>
                <w:color w:val="000000" w:themeColor="text1"/>
                <w:sz w:val="20"/>
              </w:rPr>
              <w:lastRenderedPageBreak/>
              <w:t>contain the frequency range of CORESET#0, then the UE has no need to support 2 activated BWP or to perform BWP switching, just as the configuration of initial DL BWP as specified in 38.331(also reproduced below).</w:t>
            </w:r>
            <w:r w:rsidR="00A20C93">
              <w:rPr>
                <w:color w:val="000000" w:themeColor="text1"/>
                <w:sz w:val="20"/>
              </w:rPr>
              <w:t xml:space="preserve"> However, if initial DL BWP is configured by SIB1, it needs to support 2 activated BWP or perform BWP switching.</w:t>
            </w:r>
            <w:r w:rsidR="00DA3053">
              <w:rPr>
                <w:color w:val="000000" w:themeColor="text1"/>
                <w:sz w:val="20"/>
              </w:rPr>
              <w:t xml:space="preserve"> </w:t>
            </w:r>
            <w:r w:rsidR="00EE7133" w:rsidRPr="00EE7133">
              <w:rPr>
                <w:rFonts w:ascii="ArialMT" w:hAnsi="ArialMT" w:cs="SimSun"/>
                <w:color w:val="000000"/>
                <w:sz w:val="18"/>
                <w:szCs w:val="18"/>
                <w:lang w:val="en-US"/>
              </w:rPr>
              <w:t xml:space="preserve">The network configures the </w:t>
            </w:r>
            <w:proofErr w:type="spellStart"/>
            <w:r w:rsidR="00EE7133" w:rsidRPr="00EE7133">
              <w:rPr>
                <w:rFonts w:ascii="Arial-ItalicMT" w:hAnsi="Arial-ItalicMT" w:cs="SimSun"/>
                <w:i/>
                <w:iCs/>
                <w:color w:val="000000"/>
                <w:sz w:val="18"/>
                <w:szCs w:val="18"/>
                <w:lang w:val="en-US"/>
              </w:rPr>
              <w:t>locationAndBandwidth</w:t>
            </w:r>
            <w:proofErr w:type="spellEnd"/>
            <w:r w:rsidR="00EE7133" w:rsidRPr="00EE7133">
              <w:rPr>
                <w:rFonts w:ascii="Arial-ItalicMT" w:hAnsi="Arial-ItalicMT" w:cs="SimSun"/>
                <w:i/>
                <w:iCs/>
                <w:color w:val="000000"/>
                <w:sz w:val="18"/>
                <w:szCs w:val="18"/>
                <w:lang w:val="en-US"/>
              </w:rPr>
              <w:t xml:space="preserve"> </w:t>
            </w:r>
            <w:r w:rsidR="00EE7133" w:rsidRPr="00EE7133">
              <w:rPr>
                <w:rFonts w:ascii="ArialMT" w:hAnsi="ArialMT" w:cs="SimSun"/>
                <w:color w:val="000000"/>
                <w:sz w:val="18"/>
                <w:szCs w:val="18"/>
                <w:lang w:val="en-US"/>
              </w:rPr>
              <w:t>so that the initial downlink BWP contains the entire CORESET#0 of this</w:t>
            </w:r>
            <w:r w:rsidR="00EE7133">
              <w:rPr>
                <w:rFonts w:ascii="ArialMT" w:hAnsi="ArialMT" w:cs="SimSun"/>
                <w:color w:val="000000"/>
                <w:sz w:val="18"/>
                <w:szCs w:val="18"/>
                <w:lang w:val="en-US"/>
              </w:rPr>
              <w:t xml:space="preserve"> </w:t>
            </w:r>
            <w:r w:rsidR="00EE7133" w:rsidRPr="00EE7133">
              <w:rPr>
                <w:rFonts w:ascii="ArialMT" w:hAnsi="ArialMT" w:cs="SimSun"/>
                <w:color w:val="000000"/>
                <w:sz w:val="18"/>
                <w:szCs w:val="18"/>
                <w:lang w:val="en-US"/>
              </w:rPr>
              <w:t xml:space="preserve">serving cell in the frequency domain. The UE applies the </w:t>
            </w:r>
            <w:proofErr w:type="spellStart"/>
            <w:r w:rsidR="00EE7133" w:rsidRPr="00EE7133">
              <w:rPr>
                <w:rFonts w:ascii="Arial-ItalicMT" w:hAnsi="Arial-ItalicMT" w:cs="SimSun"/>
                <w:i/>
                <w:iCs/>
                <w:color w:val="000000"/>
                <w:sz w:val="18"/>
                <w:szCs w:val="18"/>
                <w:lang w:val="en-US"/>
              </w:rPr>
              <w:t>locationAndBandwidth</w:t>
            </w:r>
            <w:proofErr w:type="spellEnd"/>
            <w:r w:rsidR="00EE7133" w:rsidRPr="00EE7133">
              <w:rPr>
                <w:rFonts w:ascii="Arial-ItalicMT" w:hAnsi="Arial-ItalicMT" w:cs="SimSun"/>
                <w:i/>
                <w:iCs/>
                <w:color w:val="000000"/>
                <w:sz w:val="18"/>
                <w:szCs w:val="18"/>
                <w:lang w:val="en-US"/>
              </w:rPr>
              <w:t xml:space="preserve"> </w:t>
            </w:r>
            <w:r w:rsidR="00EE7133" w:rsidRPr="00EE7133">
              <w:rPr>
                <w:rFonts w:ascii="ArialMT" w:hAnsi="ArialMT" w:cs="SimSun"/>
                <w:color w:val="000000"/>
                <w:sz w:val="18"/>
                <w:szCs w:val="18"/>
                <w:lang w:val="en-US"/>
              </w:rPr>
              <w:t>upon reception of this field (</w:t>
            </w:r>
            <w:proofErr w:type="gramStart"/>
            <w:r w:rsidR="00EE7133" w:rsidRPr="00EE7133">
              <w:rPr>
                <w:rFonts w:ascii="ArialMT" w:hAnsi="ArialMT" w:cs="SimSun"/>
                <w:color w:val="000000"/>
                <w:sz w:val="18"/>
                <w:szCs w:val="18"/>
                <w:lang w:val="en-US"/>
              </w:rPr>
              <w:t>e.g.</w:t>
            </w:r>
            <w:proofErr w:type="gramEnd"/>
            <w:r w:rsidR="00EE7133" w:rsidRPr="00EE7133">
              <w:rPr>
                <w:rFonts w:ascii="ArialMT" w:hAnsi="ArialMT" w:cs="SimSun"/>
                <w:color w:val="000000"/>
                <w:sz w:val="18"/>
                <w:szCs w:val="18"/>
                <w:lang w:val="en-US"/>
              </w:rPr>
              <w:t xml:space="preserve"> to determine the frequency position of signals described in</w:t>
            </w:r>
            <w:r w:rsidR="00EE7133">
              <w:rPr>
                <w:rFonts w:ascii="ArialMT" w:hAnsi="ArialMT" w:cs="SimSun"/>
                <w:color w:val="000000"/>
                <w:sz w:val="18"/>
                <w:szCs w:val="18"/>
                <w:lang w:val="en-US"/>
              </w:rPr>
              <w:t xml:space="preserve"> </w:t>
            </w:r>
            <w:r w:rsidR="00EE7133" w:rsidRPr="00EE7133">
              <w:rPr>
                <w:rFonts w:ascii="ArialMT" w:hAnsi="ArialMT" w:cs="SimSun"/>
                <w:color w:val="000000"/>
                <w:sz w:val="18"/>
                <w:szCs w:val="18"/>
                <w:lang w:val="en-US"/>
              </w:rPr>
              <w:t xml:space="preserve">relation to this </w:t>
            </w:r>
            <w:proofErr w:type="spellStart"/>
            <w:r w:rsidR="00EE7133" w:rsidRPr="00EE7133">
              <w:rPr>
                <w:rFonts w:ascii="Arial-ItalicMT" w:hAnsi="Arial-ItalicMT" w:cs="SimSun"/>
                <w:i/>
                <w:iCs/>
                <w:color w:val="000000"/>
                <w:sz w:val="18"/>
                <w:szCs w:val="18"/>
                <w:lang w:val="en-US"/>
              </w:rPr>
              <w:t>locationAndBandwidth</w:t>
            </w:r>
            <w:proofErr w:type="spellEnd"/>
            <w:r w:rsidR="00EE7133" w:rsidRPr="00EE7133">
              <w:rPr>
                <w:rFonts w:ascii="ArialMT" w:hAnsi="ArialMT" w:cs="SimSun"/>
                <w:color w:val="000000"/>
                <w:sz w:val="18"/>
                <w:szCs w:val="18"/>
                <w:lang w:val="en-US"/>
              </w:rPr>
              <w:t xml:space="preserve">) but it keeps CORESET#0 until after reception of </w:t>
            </w:r>
            <w:proofErr w:type="spellStart"/>
            <w:r w:rsidR="00EE7133" w:rsidRPr="00EE7133">
              <w:rPr>
                <w:rFonts w:ascii="Arial-ItalicMT" w:hAnsi="Arial-ItalicMT" w:cs="SimSun"/>
                <w:i/>
                <w:iCs/>
                <w:color w:val="000000"/>
                <w:sz w:val="18"/>
                <w:szCs w:val="18"/>
                <w:lang w:val="en-US"/>
              </w:rPr>
              <w:t>RRCSetup</w:t>
            </w:r>
            <w:proofErr w:type="spellEnd"/>
            <w:r w:rsidR="00EE7133" w:rsidRPr="00EE7133">
              <w:rPr>
                <w:rFonts w:ascii="ArialMT" w:hAnsi="ArialMT" w:cs="SimSun"/>
                <w:color w:val="000000"/>
                <w:sz w:val="18"/>
                <w:szCs w:val="18"/>
                <w:lang w:val="en-US"/>
              </w:rPr>
              <w:t>/</w:t>
            </w:r>
            <w:proofErr w:type="spellStart"/>
            <w:r w:rsidR="00EE7133" w:rsidRPr="00EE7133">
              <w:rPr>
                <w:rFonts w:ascii="Arial-ItalicMT" w:hAnsi="Arial-ItalicMT" w:cs="SimSun"/>
                <w:i/>
                <w:iCs/>
                <w:color w:val="000000"/>
                <w:sz w:val="18"/>
                <w:szCs w:val="18"/>
                <w:lang w:val="en-US"/>
              </w:rPr>
              <w:t>RRCResume</w:t>
            </w:r>
            <w:proofErr w:type="spellEnd"/>
            <w:r w:rsidR="00EE7133" w:rsidRPr="00EE7133">
              <w:rPr>
                <w:rFonts w:ascii="Arial-ItalicMT" w:hAnsi="Arial-ItalicMT" w:cs="SimSun"/>
                <w:i/>
                <w:iCs/>
                <w:color w:val="000000"/>
                <w:sz w:val="18"/>
                <w:szCs w:val="18"/>
                <w:lang w:val="en-US"/>
              </w:rPr>
              <w:t>/</w:t>
            </w:r>
            <w:proofErr w:type="spellStart"/>
            <w:r w:rsidR="00EE7133" w:rsidRPr="00EE7133">
              <w:rPr>
                <w:rFonts w:ascii="Arial-ItalicMT" w:hAnsi="Arial-ItalicMT" w:cs="SimSun"/>
                <w:i/>
                <w:iCs/>
                <w:color w:val="000000"/>
                <w:sz w:val="18"/>
                <w:szCs w:val="18"/>
                <w:lang w:val="en-US"/>
              </w:rPr>
              <w:t>RRCReestablishment</w:t>
            </w:r>
            <w:proofErr w:type="spellEnd"/>
            <w:r w:rsidR="00EE7133">
              <w:rPr>
                <w:rFonts w:ascii="Arial-ItalicMT" w:hAnsi="Arial-ItalicMT" w:cs="SimSun" w:hint="eastAsia"/>
                <w:i/>
                <w:iCs/>
                <w:color w:val="000000"/>
                <w:sz w:val="18"/>
                <w:szCs w:val="18"/>
                <w:lang w:val="en-US"/>
              </w:rPr>
              <w:t>.</w:t>
            </w:r>
          </w:p>
          <w:p w14:paraId="42B4676F" w14:textId="77777777" w:rsidR="00EE7133" w:rsidRPr="00EE7133" w:rsidRDefault="00EE7133" w:rsidP="00EE7133">
            <w:pPr>
              <w:rPr>
                <w:rFonts w:ascii="ArialMT" w:hAnsi="ArialMT" w:cs="SimSun" w:hint="eastAsia"/>
                <w:color w:val="000000"/>
                <w:sz w:val="18"/>
                <w:szCs w:val="18"/>
                <w:lang w:val="en-US"/>
              </w:rPr>
            </w:pPr>
          </w:p>
        </w:tc>
      </w:tr>
    </w:tbl>
    <w:p w14:paraId="31E01EB5" w14:textId="276443AA" w:rsidR="00EE7133" w:rsidRDefault="00EE7133" w:rsidP="00FB4480">
      <w:pPr>
        <w:spacing w:after="120"/>
        <w:rPr>
          <w:color w:val="000000" w:themeColor="text1"/>
          <w:sz w:val="20"/>
          <w:lang w:val="en-US"/>
        </w:rPr>
      </w:pPr>
    </w:p>
    <w:p w14:paraId="4C849218" w14:textId="33CC7627" w:rsidR="00DA3053" w:rsidRDefault="00DA3053" w:rsidP="00FB4480">
      <w:pPr>
        <w:spacing w:after="120"/>
        <w:rPr>
          <w:color w:val="000000" w:themeColor="text1"/>
          <w:sz w:val="20"/>
          <w:lang w:val="en-US"/>
        </w:rPr>
      </w:pPr>
      <w:r>
        <w:rPr>
          <w:rFonts w:hint="eastAsia"/>
          <w:color w:val="000000" w:themeColor="text1"/>
          <w:sz w:val="20"/>
          <w:lang w:val="en-US"/>
        </w:rPr>
        <w:t>T</w:t>
      </w:r>
      <w:r>
        <w:rPr>
          <w:color w:val="000000" w:themeColor="text1"/>
          <w:sz w:val="20"/>
          <w:lang w:val="en-US"/>
        </w:rPr>
        <w:t xml:space="preserve">o avoid the impact to legacy power consumption sensitive UE and BWP </w:t>
      </w:r>
      <w:r w:rsidR="00D04379">
        <w:rPr>
          <w:color w:val="000000" w:themeColor="text1"/>
          <w:sz w:val="20"/>
          <w:lang w:val="en-US"/>
        </w:rPr>
        <w:t>switching, Case C should be used if initial DL BWP is configured in SIB1, and Case E should be used otherwise.</w:t>
      </w:r>
    </w:p>
    <w:p w14:paraId="3C623F44" w14:textId="5DC41F0A" w:rsidR="00DA3053" w:rsidRDefault="00DA3053" w:rsidP="00FB4480">
      <w:pPr>
        <w:spacing w:after="120"/>
        <w:rPr>
          <w:color w:val="000000" w:themeColor="text1"/>
          <w:sz w:val="20"/>
          <w:lang w:val="en-US"/>
        </w:rPr>
      </w:pPr>
    </w:p>
    <w:p w14:paraId="1C98720D" w14:textId="51A0BE5C" w:rsidR="00D04379" w:rsidRPr="00BA2C37" w:rsidRDefault="00D04379" w:rsidP="00D04379">
      <w:pPr>
        <w:spacing w:after="120"/>
        <w:rPr>
          <w:b/>
          <w:bCs/>
          <w:i/>
          <w:iCs/>
          <w:color w:val="000000" w:themeColor="text1"/>
        </w:rPr>
      </w:pPr>
      <w:r w:rsidRPr="00BA2C37">
        <w:rPr>
          <w:b/>
          <w:bCs/>
          <w:i/>
          <w:iCs/>
          <w:color w:val="000000" w:themeColor="text1"/>
        </w:rPr>
        <w:t>Proposal 2: For RRC_IDLE/RRC_INACTIVE UEs, for broadcast reception, Case C is used if initial DL BWP is configured in SIB1, and Case E is used otherwise.</w:t>
      </w:r>
    </w:p>
    <w:p w14:paraId="411D39C4" w14:textId="77777777" w:rsidR="000209CF" w:rsidRPr="000209CF" w:rsidRDefault="000209CF" w:rsidP="000209CF">
      <w:pPr>
        <w:spacing w:after="120"/>
        <w:rPr>
          <w:color w:val="000000" w:themeColor="text1"/>
          <w:sz w:val="20"/>
          <w:lang w:val="en-US"/>
        </w:rPr>
      </w:pPr>
    </w:p>
    <w:p w14:paraId="5EE241F5" w14:textId="1B8EB23B" w:rsidR="00EA298F" w:rsidRPr="004D300F" w:rsidRDefault="00EA298F" w:rsidP="009C6D95">
      <w:pPr>
        <w:spacing w:after="120"/>
        <w:rPr>
          <w:color w:val="000000" w:themeColor="text1"/>
          <w:sz w:val="20"/>
          <w:u w:val="single"/>
        </w:rPr>
      </w:pPr>
      <w:r w:rsidRPr="004D300F">
        <w:rPr>
          <w:color w:val="000000" w:themeColor="text1"/>
          <w:sz w:val="20"/>
          <w:u w:val="single"/>
        </w:rPr>
        <w:t xml:space="preserve">2.2 </w:t>
      </w:r>
      <w:r w:rsidR="004D300F" w:rsidRPr="004D300F">
        <w:rPr>
          <w:color w:val="000000" w:themeColor="text1"/>
          <w:sz w:val="20"/>
          <w:u w:val="single"/>
        </w:rPr>
        <w:t>Beam sweeping</w:t>
      </w:r>
    </w:p>
    <w:p w14:paraId="2A5C2C9E" w14:textId="7E4D1D96" w:rsidR="00090AA7" w:rsidRDefault="00D84981" w:rsidP="009C6D95">
      <w:pPr>
        <w:spacing w:after="120"/>
        <w:rPr>
          <w:color w:val="000000" w:themeColor="text1"/>
          <w:sz w:val="20"/>
        </w:rPr>
      </w:pPr>
      <w:bookmarkStart w:id="1" w:name="_Hlk71555667"/>
      <w:r>
        <w:rPr>
          <w:color w:val="000000" w:themeColor="text1"/>
          <w:sz w:val="20"/>
        </w:rPr>
        <w:t xml:space="preserve">In RAN1#104-e meeting, </w:t>
      </w:r>
      <w:r w:rsidR="0097173F">
        <w:rPr>
          <w:color w:val="000000" w:themeColor="text1"/>
          <w:sz w:val="20"/>
        </w:rPr>
        <w:t xml:space="preserve">it was agreed up to UE implementation that the UE monitors a full set or only a subset of monitoring occasions corresponding to all SSB indexes. In our understanding, </w:t>
      </w:r>
      <w:r w:rsidR="0069355D">
        <w:rPr>
          <w:color w:val="000000" w:themeColor="text1"/>
          <w:sz w:val="20"/>
        </w:rPr>
        <w:t>the main</w:t>
      </w:r>
      <w:r w:rsidR="0097173F">
        <w:rPr>
          <w:color w:val="000000" w:themeColor="text1"/>
          <w:sz w:val="20"/>
        </w:rPr>
        <w:t xml:space="preserve"> motivation is to </w:t>
      </w:r>
      <w:r w:rsidR="0069355D">
        <w:rPr>
          <w:color w:val="000000" w:themeColor="text1"/>
          <w:sz w:val="20"/>
        </w:rPr>
        <w:t xml:space="preserve">save UE processing power from monitoring/decoding PDCCH/PDSCH in monitoring occasions that the UE </w:t>
      </w:r>
      <w:r w:rsidR="00F027F8">
        <w:rPr>
          <w:color w:val="000000" w:themeColor="text1"/>
          <w:sz w:val="20"/>
        </w:rPr>
        <w:t>has corresponding</w:t>
      </w:r>
      <w:r w:rsidR="0069355D">
        <w:rPr>
          <w:color w:val="000000" w:themeColor="text1"/>
          <w:sz w:val="20"/>
        </w:rPr>
        <w:t xml:space="preserve"> low SSB reception power. In another words, since beam sweeping is applied for MBS broadcast </w:t>
      </w:r>
      <w:r w:rsidR="0069355D" w:rsidRPr="008D062F">
        <w:rPr>
          <w:color w:val="000000" w:themeColor="text1"/>
          <w:sz w:val="20"/>
        </w:rPr>
        <w:t xml:space="preserve">service, it is ideal for </w:t>
      </w:r>
      <w:r w:rsidR="00F027F8">
        <w:rPr>
          <w:color w:val="000000" w:themeColor="text1"/>
          <w:sz w:val="20"/>
        </w:rPr>
        <w:t>idle and inactive</w:t>
      </w:r>
      <w:r w:rsidR="00F027F8" w:rsidRPr="008D062F">
        <w:rPr>
          <w:color w:val="000000" w:themeColor="text1"/>
          <w:sz w:val="20"/>
        </w:rPr>
        <w:t xml:space="preserve"> </w:t>
      </w:r>
      <w:r w:rsidR="0069355D" w:rsidRPr="008D062F">
        <w:rPr>
          <w:color w:val="000000" w:themeColor="text1"/>
          <w:sz w:val="20"/>
        </w:rPr>
        <w:t>UE</w:t>
      </w:r>
      <w:r w:rsidR="00F027F8">
        <w:rPr>
          <w:color w:val="000000" w:themeColor="text1"/>
          <w:sz w:val="20"/>
        </w:rPr>
        <w:t>s</w:t>
      </w:r>
      <w:r w:rsidR="0069355D" w:rsidRPr="008D062F">
        <w:rPr>
          <w:color w:val="000000" w:themeColor="text1"/>
          <w:sz w:val="20"/>
        </w:rPr>
        <w:t xml:space="preserve"> to decode PDCCH/PDSCH only once in a monitoring occasion corresponds to the highest SSB reception power because</w:t>
      </w:r>
      <w:r w:rsidR="0069355D">
        <w:rPr>
          <w:color w:val="000000" w:themeColor="text1"/>
          <w:sz w:val="20"/>
        </w:rPr>
        <w:t xml:space="preserve"> it is the best chance for the UE to decode the control and data correctly in the DL.</w:t>
      </w:r>
      <w:r w:rsidR="00F027F8">
        <w:rPr>
          <w:color w:val="000000" w:themeColor="text1"/>
          <w:sz w:val="20"/>
        </w:rPr>
        <w:t xml:space="preserve"> Furthermore, the higher layer parameter “MCCH duration” which defines the window/length in which the UE can expect to find MCCH control information in LTE, </w:t>
      </w:r>
      <w:r w:rsidR="00500D4B">
        <w:rPr>
          <w:color w:val="000000" w:themeColor="text1"/>
          <w:sz w:val="20"/>
        </w:rPr>
        <w:t>does not</w:t>
      </w:r>
      <w:r w:rsidR="00F027F8">
        <w:rPr>
          <w:color w:val="000000" w:themeColor="text1"/>
          <w:sz w:val="20"/>
        </w:rPr>
        <w:t xml:space="preserve"> seem really necessary </w:t>
      </w:r>
      <w:r w:rsidR="00500D4B">
        <w:rPr>
          <w:color w:val="000000" w:themeColor="text1"/>
          <w:sz w:val="20"/>
        </w:rPr>
        <w:t>any longer. In NR, since beam sweeping is applied for MBS broadcast service as said previously, the PDCCH occasions in which MCCH can be received by the UE is implicitly defined base on SSB transmissions/location. That is, the UE will no longer needed to rely on the higher layer “MCCH duration” parameter to determine the PDCCH monitoring occasions in which the UE is expecting to receive MCCH control information.</w:t>
      </w:r>
    </w:p>
    <w:p w14:paraId="79AD906C" w14:textId="18A53F72" w:rsidR="00500D4B" w:rsidRPr="00500D4B" w:rsidRDefault="00500D4B" w:rsidP="009C6D95">
      <w:pPr>
        <w:spacing w:after="120"/>
        <w:rPr>
          <w:b/>
          <w:bCs/>
          <w:i/>
          <w:iCs/>
          <w:color w:val="000000" w:themeColor="text1"/>
        </w:rPr>
      </w:pPr>
      <w:r w:rsidRPr="00500D4B">
        <w:rPr>
          <w:b/>
          <w:bCs/>
          <w:i/>
          <w:iCs/>
          <w:color w:val="000000" w:themeColor="text1"/>
        </w:rPr>
        <w:t>Proposal 3: Since PDCCH monitoring occasions are directly related to the SSB locations due to beam sweeping, the higher layer parameter “MCCH duration” is no longer necessary. RAN1 should inform RAN2 about this and recommend to remove this parameter if there is no other use.</w:t>
      </w:r>
    </w:p>
    <w:bookmarkEnd w:id="1"/>
    <w:p w14:paraId="0A431703" w14:textId="7347D801" w:rsidR="002B1EA6" w:rsidRDefault="006B62CF" w:rsidP="004D300F">
      <w:pPr>
        <w:spacing w:after="240"/>
        <w:rPr>
          <w:color w:val="000000" w:themeColor="text1"/>
          <w:sz w:val="20"/>
        </w:rPr>
      </w:pPr>
      <w:r>
        <w:rPr>
          <w:color w:val="000000" w:themeColor="text1"/>
          <w:sz w:val="20"/>
        </w:rPr>
        <w:t>Following th</w:t>
      </w:r>
      <w:r w:rsidR="00500D4B">
        <w:rPr>
          <w:color w:val="000000" w:themeColor="text1"/>
          <w:sz w:val="20"/>
        </w:rPr>
        <w:t>e</w:t>
      </w:r>
      <w:r>
        <w:rPr>
          <w:color w:val="000000" w:themeColor="text1"/>
          <w:sz w:val="20"/>
        </w:rPr>
        <w:t xml:space="preserve"> </w:t>
      </w:r>
      <w:r w:rsidR="00500D4B">
        <w:rPr>
          <w:color w:val="000000" w:themeColor="text1"/>
          <w:sz w:val="20"/>
        </w:rPr>
        <w:t xml:space="preserve">above </w:t>
      </w:r>
      <w:r>
        <w:rPr>
          <w:color w:val="000000" w:themeColor="text1"/>
          <w:sz w:val="20"/>
        </w:rPr>
        <w:t xml:space="preserve">power saving principle </w:t>
      </w:r>
      <w:r w:rsidR="00500D4B">
        <w:rPr>
          <w:color w:val="000000" w:themeColor="text1"/>
          <w:sz w:val="20"/>
        </w:rPr>
        <w:t xml:space="preserve">to </w:t>
      </w:r>
      <w:r>
        <w:rPr>
          <w:color w:val="000000" w:themeColor="text1"/>
          <w:sz w:val="20"/>
        </w:rPr>
        <w:t xml:space="preserve">further </w:t>
      </w:r>
      <w:r w:rsidR="00C02C04">
        <w:rPr>
          <w:color w:val="000000" w:themeColor="text1"/>
          <w:sz w:val="20"/>
        </w:rPr>
        <w:t>minimiz</w:t>
      </w:r>
      <w:r w:rsidR="00500D4B">
        <w:rPr>
          <w:color w:val="000000" w:themeColor="text1"/>
          <w:sz w:val="20"/>
        </w:rPr>
        <w:t>e</w:t>
      </w:r>
      <w:r>
        <w:rPr>
          <w:color w:val="000000" w:themeColor="text1"/>
          <w:sz w:val="20"/>
        </w:rPr>
        <w:t xml:space="preserve"> </w:t>
      </w:r>
      <w:r w:rsidR="00933D07">
        <w:rPr>
          <w:color w:val="000000" w:themeColor="text1"/>
          <w:sz w:val="20"/>
        </w:rPr>
        <w:t>the</w:t>
      </w:r>
      <w:r>
        <w:rPr>
          <w:color w:val="000000" w:themeColor="text1"/>
          <w:sz w:val="20"/>
        </w:rPr>
        <w:t xml:space="preserve"> </w:t>
      </w:r>
      <w:r w:rsidR="00933D07">
        <w:rPr>
          <w:color w:val="000000" w:themeColor="text1"/>
          <w:sz w:val="20"/>
        </w:rPr>
        <w:t xml:space="preserve">effort of UE </w:t>
      </w:r>
      <w:r>
        <w:rPr>
          <w:color w:val="000000" w:themeColor="text1"/>
          <w:sz w:val="20"/>
        </w:rPr>
        <w:t xml:space="preserve">monitoring PDCCH/PDSCH transmissions only when it is </w:t>
      </w:r>
      <w:r w:rsidR="001C7F45">
        <w:rPr>
          <w:color w:val="000000" w:themeColor="text1"/>
          <w:sz w:val="20"/>
        </w:rPr>
        <w:t>necessary to receive MBS data</w:t>
      </w:r>
      <w:r>
        <w:rPr>
          <w:color w:val="000000" w:themeColor="text1"/>
          <w:sz w:val="20"/>
        </w:rPr>
        <w:t xml:space="preserve">, when beam sweeping is applied the UE should </w:t>
      </w:r>
      <w:r w:rsidR="00933D07">
        <w:rPr>
          <w:color w:val="000000" w:themeColor="text1"/>
          <w:sz w:val="20"/>
        </w:rPr>
        <w:t xml:space="preserve">be able to skip </w:t>
      </w:r>
      <w:r w:rsidR="005829E2">
        <w:rPr>
          <w:color w:val="000000" w:themeColor="text1"/>
          <w:sz w:val="20"/>
        </w:rPr>
        <w:t>decoding</w:t>
      </w:r>
      <w:r w:rsidR="00933D07">
        <w:rPr>
          <w:color w:val="000000" w:themeColor="text1"/>
          <w:sz w:val="20"/>
        </w:rPr>
        <w:t xml:space="preserve"> PDCCH/PDSCH </w:t>
      </w:r>
      <w:r w:rsidR="005829E2">
        <w:rPr>
          <w:color w:val="000000" w:themeColor="text1"/>
          <w:sz w:val="20"/>
        </w:rPr>
        <w:t xml:space="preserve">in </w:t>
      </w:r>
      <w:r w:rsidR="00933D07">
        <w:rPr>
          <w:color w:val="000000" w:themeColor="text1"/>
          <w:sz w:val="20"/>
        </w:rPr>
        <w:t xml:space="preserve">monitoring occasions where the UE does not expect any MBS service/data. </w:t>
      </w:r>
      <w:r w:rsidR="005829E2">
        <w:rPr>
          <w:color w:val="000000" w:themeColor="text1"/>
          <w:sz w:val="20"/>
        </w:rPr>
        <w:t xml:space="preserve">For example, the network could configure a certain number of scheduling instances within a time window that a UE can expect to receive MBS scheduling. Once this number of MBS scheduling is reached within the time window, the UE is able to freely skip monitoring / blind decoding of PDCCH for IDLE and INACTIVE UEs. </w:t>
      </w:r>
      <w:r w:rsidR="0028565A">
        <w:rPr>
          <w:color w:val="000000" w:themeColor="text1"/>
          <w:sz w:val="20"/>
        </w:rPr>
        <w:t xml:space="preserve">As shown in Figure 1 below, </w:t>
      </w:r>
      <w:r w:rsidR="00822B01">
        <w:rPr>
          <w:color w:val="000000" w:themeColor="text1"/>
          <w:sz w:val="20"/>
        </w:rPr>
        <w:t xml:space="preserve">a time window that spans more than 3 SSB </w:t>
      </w:r>
      <w:r w:rsidR="00504937">
        <w:rPr>
          <w:color w:val="000000" w:themeColor="text1"/>
          <w:sz w:val="20"/>
        </w:rPr>
        <w:t>cycles is configured for IDLE/INACTIVE UEs. When a network configures that a maximum of up to 3 MBS data can be scheduling within the time window and a UE has received 3 MBS data scheduling, then it can skip monitoring the remaining SSB cycles within the time window.</w:t>
      </w:r>
      <w:r w:rsidR="002B1EA6">
        <w:rPr>
          <w:color w:val="000000" w:themeColor="text1"/>
          <w:sz w:val="20"/>
        </w:rPr>
        <w:t xml:space="preserve"> Therefore, firstly a time window should be defined for broadcast data transmission, similar to MCCH, for numbering of PDCCH monitoring occasions within the window.</w:t>
      </w:r>
    </w:p>
    <w:p w14:paraId="6C80B342" w14:textId="5DC6161E" w:rsidR="002B1EA6" w:rsidRDefault="002B1EA6" w:rsidP="004D300F">
      <w:pPr>
        <w:spacing w:after="240"/>
        <w:rPr>
          <w:color w:val="000000" w:themeColor="text1"/>
          <w:sz w:val="20"/>
        </w:rPr>
      </w:pPr>
      <w:r>
        <w:rPr>
          <w:color w:val="000000" w:themeColor="text1"/>
          <w:sz w:val="20"/>
        </w:rPr>
        <w:t>There can be two approaches to define the broadcast MBS time window.</w:t>
      </w:r>
    </w:p>
    <w:p w14:paraId="134B7563" w14:textId="3379E8D9" w:rsidR="002B1EA6" w:rsidRDefault="002B1EA6" w:rsidP="004D300F">
      <w:pPr>
        <w:spacing w:after="240"/>
        <w:rPr>
          <w:color w:val="000000" w:themeColor="text1"/>
          <w:sz w:val="20"/>
        </w:rPr>
      </w:pPr>
      <w:r w:rsidRPr="00FB3A48">
        <w:rPr>
          <w:b/>
          <w:bCs/>
          <w:color w:val="000000" w:themeColor="text1"/>
          <w:sz w:val="20"/>
        </w:rPr>
        <w:t>Approach 1:</w:t>
      </w:r>
      <w:r>
        <w:rPr>
          <w:color w:val="000000" w:themeColor="text1"/>
          <w:sz w:val="20"/>
        </w:rPr>
        <w:t xml:space="preserve"> SFN mod T = offset, where the period T and offset is configured by the network and the period T is the time window.</w:t>
      </w:r>
    </w:p>
    <w:p w14:paraId="66E68F71" w14:textId="1A57950D" w:rsidR="002B1EA6" w:rsidRDefault="002B1EA6" w:rsidP="004D300F">
      <w:pPr>
        <w:spacing w:after="240"/>
        <w:rPr>
          <w:color w:val="000000" w:themeColor="text1"/>
          <w:sz w:val="20"/>
        </w:rPr>
      </w:pPr>
      <w:r w:rsidRPr="00FB3A48">
        <w:rPr>
          <w:b/>
          <w:bCs/>
          <w:color w:val="000000" w:themeColor="text1"/>
          <w:sz w:val="20"/>
        </w:rPr>
        <w:t>Approach 2:</w:t>
      </w:r>
      <w:r>
        <w:rPr>
          <w:color w:val="000000" w:themeColor="text1"/>
          <w:sz w:val="20"/>
        </w:rPr>
        <w:t xml:space="preserve"> </w:t>
      </w:r>
      <w:r w:rsidRPr="002B1EA6">
        <w:rPr>
          <w:color w:val="000000" w:themeColor="text1"/>
          <w:sz w:val="20"/>
        </w:rPr>
        <w:t>If DRX is introduced for broadcast MBS as LTE SC-PTM, the window can be DRX duration.</w:t>
      </w:r>
    </w:p>
    <w:p w14:paraId="20AA0BDD" w14:textId="26A64FEE" w:rsidR="002B1EA6" w:rsidRDefault="002B1EA6" w:rsidP="002B1EA6">
      <w:pPr>
        <w:rPr>
          <w:sz w:val="20"/>
          <w:szCs w:val="20"/>
        </w:rPr>
      </w:pPr>
      <w:r w:rsidRPr="00FB3A48">
        <w:rPr>
          <w:sz w:val="20"/>
          <w:szCs w:val="20"/>
        </w:rPr>
        <w:lastRenderedPageBreak/>
        <w:t xml:space="preserve">Based on the </w:t>
      </w:r>
      <w:r w:rsidR="00FB3A48">
        <w:rPr>
          <w:sz w:val="20"/>
          <w:szCs w:val="20"/>
        </w:rPr>
        <w:t xml:space="preserve">time </w:t>
      </w:r>
      <w:r w:rsidRPr="00FB3A48">
        <w:rPr>
          <w:sz w:val="20"/>
          <w:szCs w:val="20"/>
        </w:rPr>
        <w:t xml:space="preserve">window defined above, the PDCCH </w:t>
      </w:r>
      <w:r w:rsidR="00FB3A48">
        <w:rPr>
          <w:sz w:val="20"/>
          <w:szCs w:val="20"/>
        </w:rPr>
        <w:t xml:space="preserve">monitoring </w:t>
      </w:r>
      <w:r w:rsidRPr="00FB3A48">
        <w:rPr>
          <w:sz w:val="20"/>
          <w:szCs w:val="20"/>
        </w:rPr>
        <w:t>occasion is numbered from zero within the window. There are 4 options to define the mapping between and SSB.</w:t>
      </w:r>
    </w:p>
    <w:p w14:paraId="129470C0" w14:textId="77777777" w:rsidR="00FB3A48" w:rsidRPr="00FB3A48" w:rsidRDefault="00FB3A48" w:rsidP="002B1EA6">
      <w:pPr>
        <w:rPr>
          <w:sz w:val="20"/>
          <w:szCs w:val="20"/>
        </w:rPr>
      </w:pPr>
    </w:p>
    <w:p w14:paraId="2CFDD390" w14:textId="77777777" w:rsidR="002B1EA6" w:rsidRPr="00FB3A48" w:rsidRDefault="002B1EA6" w:rsidP="002B1EA6">
      <w:pPr>
        <w:spacing w:after="240"/>
        <w:rPr>
          <w:color w:val="000000" w:themeColor="text1"/>
          <w:sz w:val="18"/>
          <w:szCs w:val="20"/>
        </w:rPr>
      </w:pPr>
      <w:r w:rsidRPr="00FB3A48">
        <w:rPr>
          <w:b/>
          <w:bCs/>
          <w:sz w:val="20"/>
          <w:szCs w:val="20"/>
        </w:rPr>
        <w:t xml:space="preserve">Option 1: </w:t>
      </w:r>
      <w:r w:rsidRPr="00FB3A48">
        <w:rPr>
          <w:sz w:val="20"/>
          <w:szCs w:val="20"/>
        </w:rPr>
        <w:t>The PDCCH occasion from 0 in ascending order can be mapped to SSB index in ascending order of their SSB indexes data by data.</w:t>
      </w:r>
    </w:p>
    <w:p w14:paraId="4843E934" w14:textId="6429F2C8" w:rsidR="004D300F" w:rsidRDefault="00006763" w:rsidP="006A72E5">
      <w:pPr>
        <w:keepNext/>
        <w:spacing w:after="120"/>
        <w:jc w:val="center"/>
      </w:pPr>
      <w:r>
        <w:object w:dxaOrig="19537" w:dyaOrig="3781" w14:anchorId="66EE3A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5pt;height:87.1pt" o:ole="">
            <v:imagedata r:id="rId8" o:title=""/>
          </v:shape>
          <o:OLEObject Type="Embed" ProgID="Visio.Drawing.15" ShapeID="_x0000_i1025" DrawAspect="Content" ObjectID="_1682254497" r:id="rId9"/>
        </w:object>
      </w:r>
    </w:p>
    <w:p w14:paraId="2E93726A" w14:textId="5E4C3AAC" w:rsidR="009E1491" w:rsidRPr="00822B01" w:rsidRDefault="004D300F" w:rsidP="004D300F">
      <w:pPr>
        <w:pStyle w:val="Caption"/>
        <w:jc w:val="center"/>
        <w:rPr>
          <w:i w:val="0"/>
          <w:iCs w:val="0"/>
          <w:color w:val="000000" w:themeColor="text1"/>
          <w:sz w:val="20"/>
        </w:rPr>
      </w:pPr>
      <w:r w:rsidRPr="00822B01">
        <w:rPr>
          <w:i w:val="0"/>
          <w:iCs w:val="0"/>
          <w:color w:val="000000" w:themeColor="text1"/>
        </w:rPr>
        <w:t xml:space="preserve">Figure </w:t>
      </w:r>
      <w:r w:rsidRPr="00822B01">
        <w:rPr>
          <w:i w:val="0"/>
          <w:iCs w:val="0"/>
          <w:color w:val="000000" w:themeColor="text1"/>
        </w:rPr>
        <w:fldChar w:fldCharType="begin"/>
      </w:r>
      <w:r w:rsidRPr="00822B01">
        <w:rPr>
          <w:i w:val="0"/>
          <w:iCs w:val="0"/>
          <w:color w:val="000000" w:themeColor="text1"/>
        </w:rPr>
        <w:instrText xml:space="preserve"> SEQ Figure \* ARABIC </w:instrText>
      </w:r>
      <w:r w:rsidRPr="00822B01">
        <w:rPr>
          <w:i w:val="0"/>
          <w:iCs w:val="0"/>
          <w:color w:val="000000" w:themeColor="text1"/>
        </w:rPr>
        <w:fldChar w:fldCharType="separate"/>
      </w:r>
      <w:r w:rsidRPr="00822B01">
        <w:rPr>
          <w:i w:val="0"/>
          <w:iCs w:val="0"/>
          <w:noProof/>
          <w:color w:val="000000" w:themeColor="text1"/>
        </w:rPr>
        <w:t>1</w:t>
      </w:r>
      <w:r w:rsidRPr="00822B01">
        <w:rPr>
          <w:i w:val="0"/>
          <w:iCs w:val="0"/>
          <w:color w:val="000000" w:themeColor="text1"/>
        </w:rPr>
        <w:fldChar w:fldCharType="end"/>
      </w:r>
    </w:p>
    <w:p w14:paraId="370ADB0E" w14:textId="77777777" w:rsidR="00FB3A48" w:rsidRPr="00FB3A48" w:rsidRDefault="00FB3A48" w:rsidP="00FB3A48">
      <w:pPr>
        <w:rPr>
          <w:sz w:val="20"/>
          <w:szCs w:val="20"/>
        </w:rPr>
      </w:pPr>
      <w:bookmarkStart w:id="2" w:name="_Hlk71615588"/>
      <w:r w:rsidRPr="00FB3A48">
        <w:rPr>
          <w:b/>
          <w:bCs/>
          <w:sz w:val="20"/>
          <w:szCs w:val="20"/>
        </w:rPr>
        <w:t xml:space="preserve">Option 2: </w:t>
      </w:r>
      <w:r w:rsidRPr="00FB3A48">
        <w:rPr>
          <w:sz w:val="20"/>
          <w:szCs w:val="20"/>
        </w:rPr>
        <w:t>The first PDCCH occasion of each data are configured by the network and the PDCCH occasion from configured first PDCCH occasion in ascending order can be mapped to SSB index in ascending order of their SSB indexes for corresponding data.</w:t>
      </w:r>
    </w:p>
    <w:p w14:paraId="3682745D" w14:textId="77777777" w:rsidR="00FB3A48" w:rsidRPr="00FB3A48" w:rsidRDefault="00FB3A48" w:rsidP="00FB3A48">
      <w:pPr>
        <w:rPr>
          <w:sz w:val="20"/>
          <w:szCs w:val="20"/>
        </w:rPr>
      </w:pPr>
    </w:p>
    <w:p w14:paraId="45B6EA2D" w14:textId="19C0C3CD" w:rsidR="00FB3A48" w:rsidRDefault="00FB3A48" w:rsidP="006A72E5">
      <w:pPr>
        <w:jc w:val="center"/>
        <w:rPr>
          <w:sz w:val="20"/>
          <w:szCs w:val="20"/>
        </w:rPr>
      </w:pPr>
      <w:r w:rsidRPr="00FB3A48">
        <w:rPr>
          <w:sz w:val="20"/>
          <w:szCs w:val="20"/>
        </w:rPr>
        <w:object w:dxaOrig="22092" w:dyaOrig="4920" w14:anchorId="2CBD4B29">
          <v:shape id="_x0000_i1026" type="#_x0000_t75" style="width:414pt;height:91.95pt" o:ole="">
            <v:imagedata r:id="rId10" o:title=""/>
          </v:shape>
          <o:OLEObject Type="Embed" ProgID="Visio.Drawing.15" ShapeID="_x0000_i1026" DrawAspect="Content" ObjectID="_1682254498" r:id="rId11"/>
        </w:object>
      </w:r>
    </w:p>
    <w:p w14:paraId="132449D8" w14:textId="77777777" w:rsidR="00FB3A48" w:rsidRPr="00FB3A48" w:rsidRDefault="00FB3A48" w:rsidP="00FB3A48">
      <w:pPr>
        <w:rPr>
          <w:sz w:val="20"/>
          <w:szCs w:val="20"/>
        </w:rPr>
      </w:pPr>
    </w:p>
    <w:p w14:paraId="1542AAC0" w14:textId="3C85E7B4" w:rsidR="00FB3A48" w:rsidRPr="00FB3A48" w:rsidRDefault="00FB3A48" w:rsidP="00FB3A48">
      <w:pPr>
        <w:rPr>
          <w:sz w:val="20"/>
          <w:szCs w:val="20"/>
        </w:rPr>
      </w:pPr>
      <w:r w:rsidRPr="00FB3A48">
        <w:rPr>
          <w:b/>
          <w:bCs/>
          <w:sz w:val="20"/>
          <w:szCs w:val="20"/>
        </w:rPr>
        <w:t xml:space="preserve">Option 3: </w:t>
      </w:r>
      <w:r w:rsidRPr="00FB3A48">
        <w:rPr>
          <w:sz w:val="20"/>
          <w:szCs w:val="20"/>
        </w:rPr>
        <w:t>The PDCCH occasion from 0 in ascending order can be mapped to SSB index in ascending order of their SSB indexes for the first data in the window. The data interval is used to define the starting PDCCH occasion for the next data.</w:t>
      </w:r>
    </w:p>
    <w:p w14:paraId="7816B23D" w14:textId="77777777" w:rsidR="00FB3A48" w:rsidRPr="00FB3A48" w:rsidRDefault="00FB3A48" w:rsidP="00FB3A48">
      <w:pPr>
        <w:rPr>
          <w:b/>
          <w:bCs/>
          <w:sz w:val="20"/>
          <w:szCs w:val="20"/>
        </w:rPr>
      </w:pPr>
    </w:p>
    <w:p w14:paraId="399D3887" w14:textId="77777777" w:rsidR="00FB3A48" w:rsidRPr="00FB3A48" w:rsidRDefault="00FB3A48" w:rsidP="00FB3A48">
      <w:pPr>
        <w:rPr>
          <w:sz w:val="20"/>
          <w:szCs w:val="20"/>
        </w:rPr>
      </w:pPr>
    </w:p>
    <w:p w14:paraId="5F8E7665" w14:textId="22A9C5E5" w:rsidR="00FB3A48" w:rsidRDefault="00FB3A48" w:rsidP="006A72E5">
      <w:pPr>
        <w:jc w:val="center"/>
        <w:rPr>
          <w:sz w:val="20"/>
          <w:szCs w:val="20"/>
        </w:rPr>
      </w:pPr>
      <w:r w:rsidRPr="00FB3A48">
        <w:rPr>
          <w:sz w:val="20"/>
          <w:szCs w:val="20"/>
        </w:rPr>
        <w:object w:dxaOrig="22812" w:dyaOrig="4248" w14:anchorId="74F91BDD">
          <v:shape id="_x0000_i1027" type="#_x0000_t75" style="width:414.95pt;height:77.35pt" o:ole="">
            <v:imagedata r:id="rId12" o:title=""/>
          </v:shape>
          <o:OLEObject Type="Embed" ProgID="Visio.Drawing.15" ShapeID="_x0000_i1027" DrawAspect="Content" ObjectID="_1682254499" r:id="rId13"/>
        </w:object>
      </w:r>
    </w:p>
    <w:p w14:paraId="6619AA45" w14:textId="77777777" w:rsidR="00FB3A48" w:rsidRPr="00FB3A48" w:rsidRDefault="00FB3A48" w:rsidP="00FB3A48">
      <w:pPr>
        <w:rPr>
          <w:sz w:val="20"/>
          <w:szCs w:val="20"/>
        </w:rPr>
      </w:pPr>
    </w:p>
    <w:p w14:paraId="7760FB59" w14:textId="01A60F3C" w:rsidR="00FB3A48" w:rsidRPr="00FB3A48" w:rsidRDefault="00FB3A48" w:rsidP="00FB3A48">
      <w:pPr>
        <w:rPr>
          <w:sz w:val="20"/>
          <w:szCs w:val="20"/>
        </w:rPr>
      </w:pPr>
      <w:r w:rsidRPr="00FB3A48">
        <w:rPr>
          <w:b/>
          <w:bCs/>
          <w:sz w:val="20"/>
          <w:szCs w:val="20"/>
        </w:rPr>
        <w:t xml:space="preserve">Option 4: </w:t>
      </w:r>
      <w:r w:rsidRPr="00FB3A48">
        <w:rPr>
          <w:sz w:val="20"/>
          <w:szCs w:val="20"/>
        </w:rPr>
        <w:t>The first PDCCH occasion of first data is configured by the network and the PDCCH occasion from configured first PDCCH occasion in ascending order can be mapped to SSB index in ascending order of their SSB index for the first data. The data interval is used to define the starting PDCCH occasion for the next data.</w:t>
      </w:r>
    </w:p>
    <w:p w14:paraId="5AA30F11" w14:textId="77777777" w:rsidR="00FB3A48" w:rsidRPr="00FB3A48" w:rsidRDefault="00FB3A48" w:rsidP="00FB3A48">
      <w:pPr>
        <w:rPr>
          <w:b/>
          <w:bCs/>
          <w:sz w:val="20"/>
          <w:szCs w:val="20"/>
        </w:rPr>
      </w:pPr>
    </w:p>
    <w:p w14:paraId="5E976C6F" w14:textId="77777777" w:rsidR="00FB3A48" w:rsidRPr="00FB3A48" w:rsidRDefault="00FB3A48" w:rsidP="006A72E5">
      <w:pPr>
        <w:jc w:val="center"/>
        <w:rPr>
          <w:sz w:val="20"/>
          <w:szCs w:val="20"/>
        </w:rPr>
      </w:pPr>
      <w:r w:rsidRPr="00FB3A48">
        <w:rPr>
          <w:sz w:val="20"/>
          <w:szCs w:val="20"/>
        </w:rPr>
        <w:object w:dxaOrig="22944" w:dyaOrig="4800" w14:anchorId="13AEE16D">
          <v:shape id="_x0000_i1028" type="#_x0000_t75" style="width:415.45pt;height:87.1pt" o:ole="">
            <v:imagedata r:id="rId14" o:title=""/>
          </v:shape>
          <o:OLEObject Type="Embed" ProgID="Visio.Drawing.15" ShapeID="_x0000_i1028" DrawAspect="Content" ObjectID="_1682254500" r:id="rId15"/>
        </w:object>
      </w:r>
    </w:p>
    <w:p w14:paraId="7227B5C3" w14:textId="77777777" w:rsidR="00FB3A48" w:rsidRPr="00FB3A48" w:rsidRDefault="00FB3A48" w:rsidP="00FB3A48">
      <w:pPr>
        <w:rPr>
          <w:sz w:val="20"/>
          <w:szCs w:val="20"/>
        </w:rPr>
      </w:pPr>
    </w:p>
    <w:p w14:paraId="7874F911" w14:textId="63B61E5C" w:rsidR="00FB3A48" w:rsidRDefault="00FB3A48" w:rsidP="00FB3A48">
      <w:pPr>
        <w:rPr>
          <w:sz w:val="20"/>
          <w:szCs w:val="20"/>
        </w:rPr>
      </w:pPr>
      <w:r w:rsidRPr="00FB3A48">
        <w:rPr>
          <w:sz w:val="20"/>
          <w:szCs w:val="20"/>
        </w:rPr>
        <w:t>From load balance and flexibility of network control point of view, option 2 is preferred and option 1 is default method.</w:t>
      </w:r>
    </w:p>
    <w:p w14:paraId="5CB79A7E" w14:textId="77777777" w:rsidR="00FB3A48" w:rsidRPr="00FB3A48" w:rsidRDefault="00FB3A48" w:rsidP="00FB3A48">
      <w:pPr>
        <w:rPr>
          <w:sz w:val="20"/>
          <w:szCs w:val="20"/>
        </w:rPr>
      </w:pPr>
    </w:p>
    <w:p w14:paraId="3A83EB80" w14:textId="78A35D9F" w:rsidR="00FB3A48" w:rsidRDefault="00FB3A48" w:rsidP="00FB3A48">
      <w:pPr>
        <w:rPr>
          <w:b/>
          <w:bCs/>
          <w:i/>
          <w:iCs/>
        </w:rPr>
      </w:pPr>
      <w:r w:rsidRPr="00FB3A48">
        <w:rPr>
          <w:b/>
          <w:bCs/>
          <w:i/>
          <w:iCs/>
        </w:rPr>
        <w:lastRenderedPageBreak/>
        <w:t xml:space="preserve">Proposal </w:t>
      </w:r>
      <w:r>
        <w:rPr>
          <w:b/>
          <w:bCs/>
          <w:i/>
          <w:iCs/>
        </w:rPr>
        <w:t>4</w:t>
      </w:r>
      <w:r w:rsidRPr="00FB3A48">
        <w:rPr>
          <w:b/>
          <w:bCs/>
          <w:i/>
          <w:iCs/>
        </w:rPr>
        <w:t>: The MBS window is defined as SFN mod T = offset, where the period T and offset are configured by the network. The MBS window is used to number PDCCH occasion from 0 for MTCH scheduling.</w:t>
      </w:r>
    </w:p>
    <w:p w14:paraId="2E4B87E9" w14:textId="77777777" w:rsidR="00FB3A48" w:rsidRPr="00FB3A48" w:rsidRDefault="00FB3A48" w:rsidP="00FB3A48">
      <w:pPr>
        <w:rPr>
          <w:b/>
          <w:bCs/>
          <w:i/>
          <w:iCs/>
        </w:rPr>
      </w:pPr>
    </w:p>
    <w:p w14:paraId="71EE5DBF" w14:textId="30C6D26B" w:rsidR="00FB3A48" w:rsidRPr="00FB3A48" w:rsidRDefault="00FB3A48" w:rsidP="00FB3A48">
      <w:pPr>
        <w:rPr>
          <w:b/>
          <w:bCs/>
          <w:i/>
          <w:iCs/>
        </w:rPr>
      </w:pPr>
      <w:r w:rsidRPr="00FB3A48">
        <w:rPr>
          <w:b/>
          <w:bCs/>
          <w:i/>
          <w:iCs/>
        </w:rPr>
        <w:t xml:space="preserve">Proposal </w:t>
      </w:r>
      <w:r>
        <w:rPr>
          <w:b/>
          <w:bCs/>
          <w:i/>
          <w:iCs/>
        </w:rPr>
        <w:t>5</w:t>
      </w:r>
      <w:r w:rsidRPr="00FB3A48">
        <w:rPr>
          <w:b/>
          <w:bCs/>
          <w:i/>
          <w:iCs/>
        </w:rPr>
        <w:t>a: The first PDCCH occasion of each data are configured by the network and the PDCCH occasion from configured first PDCCH occasion in ascending order can be mapped to SSB index in ascending order of their SSB indexes for corresponding data.</w:t>
      </w:r>
    </w:p>
    <w:p w14:paraId="6D85EC54" w14:textId="77777777" w:rsidR="00FB3A48" w:rsidRPr="00FB3A48" w:rsidRDefault="00FB3A48" w:rsidP="00FB3A48">
      <w:pPr>
        <w:rPr>
          <w:b/>
          <w:bCs/>
          <w:i/>
          <w:iCs/>
        </w:rPr>
      </w:pPr>
    </w:p>
    <w:p w14:paraId="608F56D4" w14:textId="7E465717" w:rsidR="00FB3A48" w:rsidRPr="00FB3A48" w:rsidRDefault="00FB3A48" w:rsidP="00FB3A48">
      <w:pPr>
        <w:rPr>
          <w:b/>
          <w:bCs/>
          <w:i/>
          <w:iCs/>
        </w:rPr>
      </w:pPr>
      <w:r w:rsidRPr="00FB3A48">
        <w:rPr>
          <w:b/>
          <w:bCs/>
          <w:i/>
          <w:iCs/>
        </w:rPr>
        <w:t xml:space="preserve">Proposal </w:t>
      </w:r>
      <w:r>
        <w:rPr>
          <w:b/>
          <w:bCs/>
          <w:i/>
          <w:iCs/>
        </w:rPr>
        <w:t>5</w:t>
      </w:r>
      <w:r w:rsidRPr="00FB3A48">
        <w:rPr>
          <w:b/>
          <w:bCs/>
          <w:i/>
          <w:iCs/>
        </w:rPr>
        <w:t>b: If first PDCCH occasion of each data are not configured by the network, the PDCCH occasion from 0 in ascending order can be mapped to SSB index in ascending order of their SSB indexes data by data.</w:t>
      </w:r>
    </w:p>
    <w:bookmarkEnd w:id="2"/>
    <w:p w14:paraId="68590A9A" w14:textId="77777777" w:rsidR="004D300F" w:rsidRDefault="004D300F" w:rsidP="009C6D95">
      <w:pPr>
        <w:spacing w:after="120"/>
        <w:rPr>
          <w:color w:val="000000" w:themeColor="text1"/>
          <w:sz w:val="20"/>
        </w:rPr>
      </w:pPr>
    </w:p>
    <w:p w14:paraId="3E4B3260" w14:textId="5D703F7A" w:rsidR="00EA298F" w:rsidRPr="00EA298F" w:rsidRDefault="00EA298F" w:rsidP="009C6D95">
      <w:pPr>
        <w:spacing w:after="120"/>
        <w:rPr>
          <w:color w:val="000000" w:themeColor="text1"/>
          <w:sz w:val="20"/>
          <w:u w:val="single"/>
        </w:rPr>
      </w:pPr>
      <w:r w:rsidRPr="00EA298F">
        <w:rPr>
          <w:color w:val="000000" w:themeColor="text1"/>
          <w:sz w:val="20"/>
          <w:u w:val="single"/>
        </w:rPr>
        <w:t>2.3 HARQ feedback for idle and inactive UEs</w:t>
      </w:r>
    </w:p>
    <w:p w14:paraId="03FB5877" w14:textId="3930C8A4" w:rsidR="00571873" w:rsidRDefault="006F4CEB" w:rsidP="00A22F5F">
      <w:pPr>
        <w:spacing w:after="120"/>
        <w:rPr>
          <w:color w:val="000000" w:themeColor="text1"/>
          <w:sz w:val="20"/>
        </w:rPr>
      </w:pPr>
      <w:r w:rsidRPr="006F4CEB">
        <w:rPr>
          <w:color w:val="000000" w:themeColor="text1"/>
          <w:sz w:val="20"/>
        </w:rPr>
        <w:t>As part of this MBS WI</w:t>
      </w:r>
      <w:r w:rsidR="00E13651" w:rsidRPr="006F4CEB">
        <w:rPr>
          <w:color w:val="000000" w:themeColor="text1"/>
          <w:sz w:val="20"/>
        </w:rPr>
        <w:t xml:space="preserve"> </w:t>
      </w:r>
      <w:r w:rsidRPr="006F4CEB">
        <w:rPr>
          <w:color w:val="000000" w:themeColor="text1"/>
          <w:sz w:val="20"/>
        </w:rPr>
        <w:t>scope in Rel-17 is also to “specify required changes to improve reliability of Broadcast/Multicast service, e.g.</w:t>
      </w:r>
      <w:r w:rsidR="00B87980">
        <w:rPr>
          <w:color w:val="000000" w:themeColor="text1"/>
          <w:sz w:val="20"/>
        </w:rPr>
        <w:t>,</w:t>
      </w:r>
      <w:r w:rsidRPr="006F4CEB">
        <w:rPr>
          <w:color w:val="000000" w:themeColor="text1"/>
          <w:sz w:val="20"/>
        </w:rPr>
        <w:t xml:space="preserve"> by UL feedback”, it is important/essential to have HARQ feedback from UEs in the UL in order </w:t>
      </w:r>
      <w:r w:rsidR="008B7D1F">
        <w:rPr>
          <w:color w:val="000000" w:themeColor="text1"/>
          <w:sz w:val="20"/>
        </w:rPr>
        <w:t xml:space="preserve">for the serving gNB to </w:t>
      </w:r>
      <w:r w:rsidR="00B312EC">
        <w:rPr>
          <w:color w:val="000000" w:themeColor="text1"/>
          <w:sz w:val="20"/>
        </w:rPr>
        <w:t xml:space="preserve">gain knowledge and try to </w:t>
      </w:r>
      <w:r w:rsidR="008B7D1F">
        <w:rPr>
          <w:color w:val="000000" w:themeColor="text1"/>
          <w:sz w:val="20"/>
        </w:rPr>
        <w:t>meet</w:t>
      </w:r>
      <w:r w:rsidRPr="006F4CEB">
        <w:rPr>
          <w:color w:val="000000" w:themeColor="text1"/>
          <w:sz w:val="20"/>
        </w:rPr>
        <w:t xml:space="preserve"> the level of reliability (QoS) that is required for the MBS application/service provided by the network. </w:t>
      </w:r>
      <w:r w:rsidR="00B312EC">
        <w:rPr>
          <w:color w:val="000000" w:themeColor="text1"/>
          <w:sz w:val="20"/>
        </w:rPr>
        <w:t>For example, if there are UEs connecting and receiving MBS data</w:t>
      </w:r>
      <w:r w:rsidR="00B312EC" w:rsidRPr="006F4CEB">
        <w:rPr>
          <w:color w:val="000000" w:themeColor="text1"/>
          <w:sz w:val="20"/>
        </w:rPr>
        <w:t xml:space="preserve"> provided by the network</w:t>
      </w:r>
      <w:r w:rsidR="00B312EC">
        <w:rPr>
          <w:color w:val="000000" w:themeColor="text1"/>
          <w:sz w:val="20"/>
        </w:rPr>
        <w:t xml:space="preserve"> at the same time, then based on the HARQ feedback the network would be able to determine if retransmission of a same TB is required in order to meeting the reliability requirement for the service. </w:t>
      </w:r>
      <w:proofErr w:type="gramStart"/>
      <w:r w:rsidR="00B312EC">
        <w:rPr>
          <w:color w:val="000000" w:themeColor="text1"/>
          <w:sz w:val="20"/>
        </w:rPr>
        <w:t>E.g.</w:t>
      </w:r>
      <w:proofErr w:type="gramEnd"/>
      <w:r w:rsidR="00B312EC">
        <w:rPr>
          <w:color w:val="000000" w:themeColor="text1"/>
          <w:sz w:val="20"/>
        </w:rPr>
        <w:t xml:space="preserve"> retransmission should be provided if number of NACK is more than 10% of the total HARQ feedback reports when the required reliability is 90%.</w:t>
      </w:r>
      <w:r w:rsidR="00A22F5F">
        <w:rPr>
          <w:color w:val="000000" w:themeColor="text1"/>
          <w:sz w:val="20"/>
        </w:rPr>
        <w:t xml:space="preserve"> </w:t>
      </w:r>
      <w:r w:rsidR="00B312EC">
        <w:rPr>
          <w:color w:val="000000" w:themeColor="text1"/>
          <w:sz w:val="20"/>
        </w:rPr>
        <w:t>Since MBS application</w:t>
      </w:r>
      <w:r w:rsidR="009635E0">
        <w:rPr>
          <w:color w:val="000000" w:themeColor="text1"/>
          <w:sz w:val="20"/>
        </w:rPr>
        <w:t>/</w:t>
      </w:r>
      <w:r w:rsidR="00B312EC">
        <w:rPr>
          <w:color w:val="000000" w:themeColor="text1"/>
          <w:sz w:val="20"/>
        </w:rPr>
        <w:t xml:space="preserve">service </w:t>
      </w:r>
      <w:r w:rsidR="009635E0">
        <w:rPr>
          <w:color w:val="000000" w:themeColor="text1"/>
          <w:sz w:val="20"/>
        </w:rPr>
        <w:t>should</w:t>
      </w:r>
      <w:r w:rsidR="00B312EC">
        <w:rPr>
          <w:color w:val="000000" w:themeColor="text1"/>
          <w:sz w:val="20"/>
        </w:rPr>
        <w:t xml:space="preserve"> be provided to </w:t>
      </w:r>
      <w:r w:rsidR="008B7D1F">
        <w:rPr>
          <w:color w:val="000000" w:themeColor="text1"/>
          <w:sz w:val="20"/>
        </w:rPr>
        <w:t xml:space="preserve">UEs in all three </w:t>
      </w:r>
      <w:r w:rsidR="00B312EC">
        <w:rPr>
          <w:color w:val="000000" w:themeColor="text1"/>
          <w:sz w:val="20"/>
        </w:rPr>
        <w:t xml:space="preserve">RRC </w:t>
      </w:r>
      <w:r w:rsidR="009635E0">
        <w:rPr>
          <w:color w:val="000000" w:themeColor="text1"/>
          <w:sz w:val="20"/>
        </w:rPr>
        <w:t xml:space="preserve">connected, </w:t>
      </w:r>
      <w:r>
        <w:rPr>
          <w:color w:val="000000" w:themeColor="text1"/>
          <w:sz w:val="20"/>
        </w:rPr>
        <w:t xml:space="preserve">idle and inactive </w:t>
      </w:r>
      <w:r w:rsidR="008B7D1F">
        <w:rPr>
          <w:color w:val="000000" w:themeColor="text1"/>
          <w:sz w:val="20"/>
        </w:rPr>
        <w:t>states</w:t>
      </w:r>
      <w:r w:rsidR="009635E0">
        <w:rPr>
          <w:color w:val="000000" w:themeColor="text1"/>
          <w:sz w:val="20"/>
        </w:rPr>
        <w:t xml:space="preserve"> simultaneously in the same cell</w:t>
      </w:r>
      <w:r w:rsidR="00B312EC">
        <w:rPr>
          <w:color w:val="000000" w:themeColor="text1"/>
          <w:sz w:val="20"/>
        </w:rPr>
        <w:t xml:space="preserve">, </w:t>
      </w:r>
      <w:r w:rsidR="009635E0">
        <w:rPr>
          <w:color w:val="000000" w:themeColor="text1"/>
          <w:sz w:val="20"/>
        </w:rPr>
        <w:t xml:space="preserve">gaining the HARQ knowledge about the MBS data reception performance for idle and inactive UEs is also important and critical to understand the level of reliability achieved. </w:t>
      </w:r>
    </w:p>
    <w:p w14:paraId="7EFB3A99" w14:textId="229E2F8E" w:rsidR="00571873" w:rsidRPr="00A22F5F" w:rsidRDefault="00571873" w:rsidP="00571873">
      <w:pPr>
        <w:spacing w:after="240"/>
        <w:rPr>
          <w:color w:val="000000" w:themeColor="text1"/>
          <w:sz w:val="20"/>
          <w:szCs w:val="20"/>
        </w:rPr>
      </w:pPr>
      <w:r w:rsidRPr="00A22F5F">
        <w:rPr>
          <w:color w:val="000000" w:themeColor="text1"/>
          <w:sz w:val="20"/>
        </w:rPr>
        <w:t xml:space="preserve">Furthermore, </w:t>
      </w:r>
      <w:r w:rsidRPr="00A22F5F">
        <w:rPr>
          <w:color w:val="000000" w:themeColor="text1"/>
          <w:sz w:val="20"/>
          <w:szCs w:val="20"/>
        </w:rPr>
        <w:t xml:space="preserve">HARQ feedback is already agree to be supported to improve the reliability of CONNECTED state UEs. For the same type of services provided by the network (e.g., broadcast services with group-common PDCCH / PDSCH transmissions), the network should not rely on only the HARQ feedback from UE in CONNECTED state to decide whether a packet should or should not be retransmitted. Since the provided service is broadcast in nature to be received by all subscribed MBS UEs in the cell and the capacity for the number of network connections and radio resources are always limited, it would not be reasonable for the network gNB to decide packet TB retransmission based on only limited portion of UEs receiving the service to ensure target QoS is reached. </w:t>
      </w:r>
      <w:r w:rsidR="00A22F5F" w:rsidRPr="00A22F5F">
        <w:rPr>
          <w:color w:val="000000" w:themeColor="text1"/>
          <w:sz w:val="20"/>
          <w:szCs w:val="20"/>
        </w:rPr>
        <w:t>In addition</w:t>
      </w:r>
      <w:r w:rsidRPr="00A22F5F">
        <w:rPr>
          <w:color w:val="000000" w:themeColor="text1"/>
          <w:sz w:val="20"/>
          <w:szCs w:val="20"/>
        </w:rPr>
        <w:t xml:space="preserve">, since the retransmission for CONNECTED UEs could be provided in a UE-specific manner, it is </w:t>
      </w:r>
      <w:r w:rsidR="00A22F5F" w:rsidRPr="00A22F5F">
        <w:rPr>
          <w:color w:val="000000" w:themeColor="text1"/>
          <w:sz w:val="20"/>
          <w:szCs w:val="20"/>
        </w:rPr>
        <w:t xml:space="preserve">then </w:t>
      </w:r>
      <w:r w:rsidRPr="00A22F5F">
        <w:rPr>
          <w:color w:val="000000" w:themeColor="text1"/>
          <w:sz w:val="20"/>
          <w:szCs w:val="20"/>
        </w:rPr>
        <w:t>not possible for IDLE/INACTIVE UEs to receive the same retransmission. Therefore, it is not only beneficial but also essential to support HARQ feedback from IDLE/INACTIVE UEs for broadcast and multicast receptions.</w:t>
      </w:r>
    </w:p>
    <w:p w14:paraId="61565FC0" w14:textId="7012E4F1" w:rsidR="008D1CDC" w:rsidRPr="008D1CDC" w:rsidRDefault="008D1CDC" w:rsidP="008D1CDC">
      <w:pPr>
        <w:pStyle w:val="BodyText"/>
        <w:spacing w:before="120" w:after="360"/>
        <w:rPr>
          <w:color w:val="000000" w:themeColor="text1"/>
          <w:sz w:val="20"/>
          <w:szCs w:val="20"/>
        </w:rPr>
      </w:pPr>
      <w:r w:rsidRPr="00A22F5F">
        <w:rPr>
          <w:color w:val="000000" w:themeColor="text1"/>
          <w:sz w:val="20"/>
        </w:rPr>
        <w:t>Therefore, we propose that HARQ feedback from idle and inactive state UEs should be supported. This would be aligning with the aim of keeping maximum commonality between RRC_CONNECTED state and RRC_IDLE/RRC_INACTIVE state for the configuration of PTM reception according to the WID [1]. And since the number of idle/inactive state UEs may not be known accurately by the network, only NACK feedback is necessary to determine the need for packet retransmission</w:t>
      </w:r>
      <w:r w:rsidR="00A22F5F" w:rsidRPr="00A22F5F">
        <w:rPr>
          <w:color w:val="000000" w:themeColor="text1"/>
          <w:sz w:val="20"/>
        </w:rPr>
        <w:t>, as it has also been agreed to be supported by UEs in the CONNECTED mode</w:t>
      </w:r>
      <w:r w:rsidRPr="00A22F5F">
        <w:rPr>
          <w:color w:val="000000" w:themeColor="text1"/>
          <w:sz w:val="20"/>
        </w:rPr>
        <w:t>.</w:t>
      </w:r>
      <w:r w:rsidR="00A22F5F" w:rsidRPr="00A22F5F">
        <w:rPr>
          <w:color w:val="000000" w:themeColor="text1"/>
          <w:sz w:val="20"/>
        </w:rPr>
        <w:t xml:space="preserve"> Therefore, t</w:t>
      </w:r>
      <w:r w:rsidRPr="00A22F5F">
        <w:rPr>
          <w:color w:val="000000" w:themeColor="text1"/>
          <w:sz w:val="20"/>
          <w:szCs w:val="20"/>
        </w:rPr>
        <w:t>o minimize the resources required and the specification effort to support HARQ feedback for IDLE/INACTIVE UEs, the same “NACK-only” scheme which was already agree to be supported for the CONNECTED state UEs could be reused here.</w:t>
      </w:r>
      <w:r>
        <w:rPr>
          <w:color w:val="000000" w:themeColor="text1"/>
          <w:sz w:val="20"/>
          <w:szCs w:val="20"/>
        </w:rPr>
        <w:t xml:space="preserve"> </w:t>
      </w:r>
    </w:p>
    <w:p w14:paraId="2E93CD57" w14:textId="38CC2532" w:rsidR="00565E67" w:rsidRPr="00B57E94" w:rsidRDefault="00565E67" w:rsidP="009635E0">
      <w:pPr>
        <w:spacing w:after="120"/>
        <w:rPr>
          <w:b/>
          <w:i/>
          <w:color w:val="000000" w:themeColor="text1"/>
        </w:rPr>
      </w:pPr>
      <w:r w:rsidRPr="00B57E94">
        <w:rPr>
          <w:b/>
          <w:i/>
          <w:color w:val="000000" w:themeColor="text1"/>
        </w:rPr>
        <w:t>Proposal</w:t>
      </w:r>
      <w:r w:rsidR="00EA5E87" w:rsidRPr="00B57E94">
        <w:rPr>
          <w:b/>
          <w:i/>
          <w:color w:val="000000" w:themeColor="text1"/>
        </w:rPr>
        <w:t xml:space="preserve"> </w:t>
      </w:r>
      <w:r w:rsidR="00FB3A48" w:rsidRPr="00B57E94">
        <w:rPr>
          <w:b/>
          <w:i/>
          <w:color w:val="000000" w:themeColor="text1"/>
        </w:rPr>
        <w:t>6</w:t>
      </w:r>
      <w:r w:rsidRPr="00B57E94">
        <w:rPr>
          <w:b/>
          <w:i/>
          <w:color w:val="000000" w:themeColor="text1"/>
        </w:rPr>
        <w:t xml:space="preserve">: </w:t>
      </w:r>
      <w:r w:rsidR="009635E0" w:rsidRPr="00B57E94">
        <w:rPr>
          <w:b/>
          <w:i/>
          <w:color w:val="000000" w:themeColor="text1"/>
        </w:rPr>
        <w:t>It is proposed for RRC idle and inactive state UEs to provide HARQ feedback in order to meet reliability requirement of MBS application/service.</w:t>
      </w:r>
    </w:p>
    <w:p w14:paraId="2DC3B139" w14:textId="6FFA4C79" w:rsidR="00943859" w:rsidRPr="00B57E94" w:rsidRDefault="009635E0" w:rsidP="00943859">
      <w:pPr>
        <w:pStyle w:val="ListParagraph"/>
        <w:numPr>
          <w:ilvl w:val="0"/>
          <w:numId w:val="42"/>
        </w:numPr>
        <w:spacing w:after="360"/>
        <w:ind w:leftChars="0"/>
        <w:rPr>
          <w:rFonts w:ascii="Arial" w:hAnsi="Arial" w:cs="Arial"/>
          <w:b/>
          <w:i/>
          <w:color w:val="000000" w:themeColor="text1"/>
          <w:sz w:val="21"/>
          <w:szCs w:val="21"/>
        </w:rPr>
      </w:pPr>
      <w:r w:rsidRPr="00B57E94">
        <w:rPr>
          <w:rFonts w:ascii="Arial" w:hAnsi="Arial" w:cs="Arial"/>
          <w:b/>
          <w:i/>
          <w:color w:val="000000" w:themeColor="text1"/>
          <w:sz w:val="21"/>
          <w:szCs w:val="21"/>
        </w:rPr>
        <w:t>Only NACK feedback is needed since the number of RRC idle and inactive state UEs</w:t>
      </w:r>
      <w:r w:rsidR="00943859" w:rsidRPr="00B57E94">
        <w:rPr>
          <w:rFonts w:ascii="Arial" w:hAnsi="Arial" w:cs="Arial"/>
          <w:b/>
          <w:i/>
          <w:color w:val="000000" w:themeColor="text1"/>
          <w:sz w:val="21"/>
          <w:szCs w:val="21"/>
        </w:rPr>
        <w:t xml:space="preserve"> may not be accurately known by the network.</w:t>
      </w:r>
    </w:p>
    <w:p w14:paraId="7E333A5F" w14:textId="77777777" w:rsidR="00DC70D1" w:rsidRPr="00EA5E87" w:rsidRDefault="008B7D1F" w:rsidP="00E73CFF">
      <w:pPr>
        <w:spacing w:after="120"/>
        <w:rPr>
          <w:color w:val="000000" w:themeColor="text1"/>
          <w:sz w:val="20"/>
          <w:szCs w:val="20"/>
        </w:rPr>
      </w:pPr>
      <w:r w:rsidRPr="00EA5E87">
        <w:rPr>
          <w:color w:val="000000" w:themeColor="text1"/>
          <w:sz w:val="20"/>
          <w:szCs w:val="20"/>
        </w:rPr>
        <w:t xml:space="preserve">To support the “only NACK” </w:t>
      </w:r>
      <w:proofErr w:type="gramStart"/>
      <w:r w:rsidRPr="00EA5E87">
        <w:rPr>
          <w:color w:val="000000" w:themeColor="text1"/>
          <w:sz w:val="20"/>
          <w:szCs w:val="20"/>
        </w:rPr>
        <w:t>/ ”NACK</w:t>
      </w:r>
      <w:proofErr w:type="gramEnd"/>
      <w:r w:rsidRPr="00EA5E87">
        <w:rPr>
          <w:color w:val="000000" w:themeColor="text1"/>
          <w:sz w:val="20"/>
          <w:szCs w:val="20"/>
        </w:rPr>
        <w:t xml:space="preserve">-only” feedback from idle and inactive UEs, </w:t>
      </w:r>
      <w:r w:rsidR="002432C9" w:rsidRPr="00EA5E87">
        <w:rPr>
          <w:color w:val="000000" w:themeColor="text1"/>
          <w:sz w:val="20"/>
          <w:szCs w:val="20"/>
        </w:rPr>
        <w:t xml:space="preserve">an UL container (physical channel) is needed, and preferably a common container or a set of common resources that can be shared among idle/inactive UEs for the HARQ feedback to </w:t>
      </w:r>
      <w:r w:rsidR="0067235F" w:rsidRPr="00EA5E87">
        <w:rPr>
          <w:color w:val="000000" w:themeColor="text1"/>
          <w:sz w:val="20"/>
          <w:szCs w:val="20"/>
        </w:rPr>
        <w:t xml:space="preserve">help </w:t>
      </w:r>
      <w:r w:rsidR="002432C9" w:rsidRPr="00EA5E87">
        <w:rPr>
          <w:color w:val="000000" w:themeColor="text1"/>
          <w:sz w:val="20"/>
          <w:szCs w:val="20"/>
        </w:rPr>
        <w:t xml:space="preserve">efficiently utilize UL resources. </w:t>
      </w:r>
    </w:p>
    <w:p w14:paraId="5C159C93" w14:textId="27D4E628" w:rsidR="008B7D1F" w:rsidRPr="00EA5E87" w:rsidRDefault="0067235F" w:rsidP="00DC70D1">
      <w:pPr>
        <w:pStyle w:val="ListParagraph"/>
        <w:numPr>
          <w:ilvl w:val="0"/>
          <w:numId w:val="42"/>
        </w:numPr>
        <w:spacing w:after="120"/>
        <w:ind w:leftChars="0"/>
        <w:rPr>
          <w:rFonts w:ascii="Arial" w:hAnsi="Arial" w:cs="Arial"/>
          <w:color w:val="000000" w:themeColor="text1"/>
          <w:szCs w:val="20"/>
        </w:rPr>
      </w:pPr>
      <w:r w:rsidRPr="00EA5E87">
        <w:rPr>
          <w:rFonts w:ascii="Arial" w:hAnsi="Arial" w:cs="Arial"/>
          <w:color w:val="000000" w:themeColor="text1"/>
          <w:szCs w:val="20"/>
        </w:rPr>
        <w:lastRenderedPageBreak/>
        <w:t>One approach is to allocate PUCCH resources for the NACK-only feedback, similar to the existing HARQ reporting in connected state. Here, sequence</w:t>
      </w:r>
      <w:r w:rsidR="00DC70D1" w:rsidRPr="00EA5E87">
        <w:rPr>
          <w:rFonts w:ascii="Arial" w:hAnsi="Arial" w:cs="Arial"/>
          <w:color w:val="000000" w:themeColor="text1"/>
          <w:szCs w:val="20"/>
        </w:rPr>
        <w:t>-selection</w:t>
      </w:r>
      <w:r w:rsidRPr="00EA5E87">
        <w:rPr>
          <w:rFonts w:ascii="Arial" w:hAnsi="Arial" w:cs="Arial"/>
          <w:color w:val="000000" w:themeColor="text1"/>
          <w:szCs w:val="20"/>
        </w:rPr>
        <w:t xml:space="preserve"> based PUCCH transmission like PUCCH format 0 </w:t>
      </w:r>
      <w:r w:rsidR="00081BA1" w:rsidRPr="00EA5E87">
        <w:rPr>
          <w:rFonts w:ascii="Arial" w:hAnsi="Arial" w:cs="Arial"/>
          <w:color w:val="000000" w:themeColor="text1"/>
          <w:szCs w:val="20"/>
        </w:rPr>
        <w:t xml:space="preserve">to support </w:t>
      </w:r>
      <w:r w:rsidR="00DC70D1" w:rsidRPr="00EA5E87">
        <w:rPr>
          <w:rFonts w:ascii="Arial" w:hAnsi="Arial" w:cs="Arial"/>
          <w:color w:val="000000" w:themeColor="text1"/>
          <w:szCs w:val="20"/>
        </w:rPr>
        <w:t xml:space="preserve">HARQ information with </w:t>
      </w:r>
      <w:r w:rsidR="00081BA1" w:rsidRPr="00EA5E87">
        <w:rPr>
          <w:rFonts w:ascii="Arial" w:hAnsi="Arial" w:cs="Arial"/>
          <w:color w:val="000000" w:themeColor="text1"/>
          <w:szCs w:val="20"/>
        </w:rPr>
        <w:t xml:space="preserve">no more than 2 bits </w:t>
      </w:r>
      <w:r w:rsidR="00DC70D1" w:rsidRPr="00EA5E87">
        <w:rPr>
          <w:rFonts w:ascii="Arial" w:hAnsi="Arial" w:cs="Arial"/>
          <w:color w:val="000000" w:themeColor="text1"/>
          <w:szCs w:val="20"/>
        </w:rPr>
        <w:t>and it</w:t>
      </w:r>
      <w:r w:rsidRPr="00EA5E87">
        <w:rPr>
          <w:rFonts w:ascii="Arial" w:hAnsi="Arial" w:cs="Arial"/>
          <w:color w:val="000000" w:themeColor="text1"/>
          <w:szCs w:val="20"/>
        </w:rPr>
        <w:t xml:space="preserve"> could multiplex more than one PUCCH transmissions (HARQ reports from multiple UEs) within one RB can be considered.</w:t>
      </w:r>
      <w:r w:rsidR="00DC70D1" w:rsidRPr="00EA5E87">
        <w:rPr>
          <w:rFonts w:ascii="Arial" w:hAnsi="Arial" w:cs="Arial"/>
          <w:color w:val="000000" w:themeColor="text1"/>
          <w:szCs w:val="20"/>
        </w:rPr>
        <w:t xml:space="preserve"> Since multiple UEs could be transmitting using the same PUCCH resources, a long PUCCH format or a PUCCH format that can carry more than 2 bits would seem unnecessary for the NACK-only feedback with just 1 or 2 bits. However, if PUCCH resources are to be used for the NACK-only feedback from idle and inactive UEs, one would need to consider how to resolve the issue of timing advance for the PUCCH transmission and the determination of its transmission power.</w:t>
      </w:r>
      <w:r w:rsidR="000F0DDD">
        <w:rPr>
          <w:rFonts w:ascii="Arial" w:hAnsi="Arial" w:cs="Arial"/>
          <w:color w:val="000000" w:themeColor="text1"/>
          <w:szCs w:val="20"/>
        </w:rPr>
        <w:t xml:space="preserve"> As an example, they can be determined by the UE based on RSRP received in the DL and a configured target received power for the NACK-only feedback to calculate the pathloss. And if the measured RSPR falls within a certain range, a specific TA could be applied for the PUCCH transmission.</w:t>
      </w:r>
    </w:p>
    <w:p w14:paraId="17910645" w14:textId="536020DD" w:rsidR="00DC70D1" w:rsidRPr="00EA5E87" w:rsidRDefault="00DC70D1" w:rsidP="00DC70D1">
      <w:pPr>
        <w:pStyle w:val="ListParagraph"/>
        <w:numPr>
          <w:ilvl w:val="0"/>
          <w:numId w:val="42"/>
        </w:numPr>
        <w:spacing w:after="120"/>
        <w:ind w:leftChars="0"/>
        <w:rPr>
          <w:rFonts w:ascii="Arial" w:hAnsi="Arial" w:cs="Arial"/>
          <w:color w:val="000000" w:themeColor="text1"/>
          <w:szCs w:val="20"/>
        </w:rPr>
      </w:pPr>
      <w:r w:rsidRPr="00EA5E87">
        <w:rPr>
          <w:rFonts w:ascii="Arial" w:hAnsi="Arial" w:cs="Arial"/>
          <w:color w:val="000000" w:themeColor="text1"/>
          <w:szCs w:val="20"/>
        </w:rPr>
        <w:t xml:space="preserve">On the other hand, </w:t>
      </w:r>
      <w:r w:rsidR="00BA3FD2" w:rsidRPr="00EA5E87">
        <w:rPr>
          <w:rFonts w:ascii="Arial" w:hAnsi="Arial" w:cs="Arial"/>
          <w:color w:val="000000" w:themeColor="text1"/>
          <w:szCs w:val="20"/>
        </w:rPr>
        <w:t xml:space="preserve">PARCH or RACH preamble transmission tend not to have such issues with timing advance and transmission power determination, as PRACH transmission is well designed to follow the downlink reception timing and the Tx power can be derived based on calculated pathloss and a configured target receive power. Furthermore, PRACH or RO also has better support for beam sweeping operation in MBS. </w:t>
      </w:r>
      <w:r w:rsidR="00EA5E87" w:rsidRPr="00EA5E87">
        <w:rPr>
          <w:rFonts w:ascii="Arial" w:hAnsi="Arial" w:cs="Arial"/>
          <w:color w:val="000000" w:themeColor="text1"/>
          <w:szCs w:val="20"/>
        </w:rPr>
        <w:t>Separate PRACH/RO can be allocated and configured for each SSB beam. By receiving NACK-only feedback on PRACH in a certain RO, it enables the gNB to identify the beam from which the MBS transmission has failed and subsequently provide a more targeted retransmission on certain beam(s). However, the drawback of using PRACH for the HARQ feedback is the need to allocate more resources than using PUCCH.</w:t>
      </w:r>
    </w:p>
    <w:p w14:paraId="290B3BB1" w14:textId="66E5D30A" w:rsidR="00E73CFF" w:rsidRPr="00EA5E87" w:rsidRDefault="00E73CFF" w:rsidP="00E73CFF">
      <w:pPr>
        <w:spacing w:after="120"/>
        <w:rPr>
          <w:b/>
          <w:i/>
          <w:color w:val="000000" w:themeColor="text1"/>
          <w:szCs w:val="20"/>
        </w:rPr>
      </w:pPr>
      <w:r w:rsidRPr="00B57E94">
        <w:rPr>
          <w:b/>
          <w:i/>
          <w:color w:val="000000" w:themeColor="text1"/>
          <w:szCs w:val="20"/>
        </w:rPr>
        <w:t xml:space="preserve">Proposal </w:t>
      </w:r>
      <w:r w:rsidR="00B57E94" w:rsidRPr="00B57E94">
        <w:rPr>
          <w:b/>
          <w:i/>
          <w:color w:val="000000" w:themeColor="text1"/>
          <w:szCs w:val="20"/>
        </w:rPr>
        <w:t>7</w:t>
      </w:r>
      <w:r w:rsidRPr="00EA5E87">
        <w:rPr>
          <w:b/>
          <w:i/>
          <w:color w:val="000000" w:themeColor="text1"/>
          <w:szCs w:val="20"/>
        </w:rPr>
        <w:t xml:space="preserve">: </w:t>
      </w:r>
      <w:r w:rsidR="00EA5E87" w:rsidRPr="00EA5E87">
        <w:rPr>
          <w:b/>
          <w:i/>
          <w:color w:val="000000" w:themeColor="text1"/>
          <w:szCs w:val="20"/>
        </w:rPr>
        <w:t>To support “only NACK” HARQ feedback for idle and inactive UEs, it should be further consider using PUCCH or PRACH.</w:t>
      </w:r>
    </w:p>
    <w:p w14:paraId="23FC875A" w14:textId="77777777" w:rsidR="00E73CFF" w:rsidRDefault="00E73CFF" w:rsidP="00BC0557">
      <w:pPr>
        <w:spacing w:after="120"/>
        <w:rPr>
          <w:b/>
          <w:sz w:val="20"/>
          <w:szCs w:val="20"/>
        </w:rPr>
      </w:pPr>
    </w:p>
    <w:p w14:paraId="3A91C9E1" w14:textId="66FD719D" w:rsidR="00BC0557" w:rsidRPr="00542EDE" w:rsidRDefault="00BC0557" w:rsidP="00BC0557">
      <w:pPr>
        <w:spacing w:after="120"/>
        <w:rPr>
          <w:b/>
          <w:sz w:val="20"/>
          <w:szCs w:val="20"/>
        </w:rPr>
      </w:pPr>
      <w:r w:rsidRPr="00542EDE">
        <w:rPr>
          <w:b/>
          <w:sz w:val="20"/>
          <w:szCs w:val="20"/>
        </w:rPr>
        <w:t>3. Conclusion</w:t>
      </w:r>
    </w:p>
    <w:p w14:paraId="05FA8798" w14:textId="1711D94E" w:rsidR="00BC0557" w:rsidRPr="000D4E30" w:rsidRDefault="00BC0557" w:rsidP="00BC0557">
      <w:pPr>
        <w:rPr>
          <w:iCs/>
          <w:color w:val="000000" w:themeColor="text1"/>
          <w:sz w:val="20"/>
          <w:szCs w:val="20"/>
        </w:rPr>
      </w:pPr>
      <w:r w:rsidRPr="000D4E30">
        <w:rPr>
          <w:color w:val="000000" w:themeColor="text1"/>
          <w:sz w:val="20"/>
          <w:szCs w:val="20"/>
        </w:rPr>
        <w:t xml:space="preserve">In this contribution, </w:t>
      </w:r>
      <w:r w:rsidR="004E0EB3" w:rsidRPr="000D4E30">
        <w:rPr>
          <w:color w:val="000000" w:themeColor="text1"/>
          <w:sz w:val="20"/>
          <w:szCs w:val="20"/>
        </w:rPr>
        <w:t xml:space="preserve">we discussed </w:t>
      </w:r>
      <w:r w:rsidR="00A50AEC" w:rsidRPr="000D4E30">
        <w:rPr>
          <w:color w:val="000000" w:themeColor="text1"/>
          <w:sz w:val="20"/>
          <w:szCs w:val="20"/>
        </w:rPr>
        <w:t>and</w:t>
      </w:r>
      <w:r w:rsidR="00A50AEC" w:rsidRPr="000D4E30">
        <w:rPr>
          <w:color w:val="000000" w:themeColor="text1"/>
          <w:sz w:val="20"/>
        </w:rPr>
        <w:t xml:space="preserve"> provided our views on </w:t>
      </w:r>
      <w:r w:rsidR="000D4E30" w:rsidRPr="000D4E30">
        <w:rPr>
          <w:color w:val="000000" w:themeColor="text1"/>
          <w:sz w:val="20"/>
          <w:szCs w:val="20"/>
        </w:rPr>
        <w:t>some of basic functionalities that should be supported for IDLE and INACTIVE states</w:t>
      </w:r>
      <w:r w:rsidR="000D4E30">
        <w:rPr>
          <w:color w:val="000000" w:themeColor="text1"/>
          <w:sz w:val="20"/>
          <w:szCs w:val="20"/>
        </w:rPr>
        <w:t xml:space="preserve"> from PHY layer’s perspective</w:t>
      </w:r>
      <w:r w:rsidR="00B63B9C" w:rsidRPr="000D4E30">
        <w:rPr>
          <w:color w:val="000000" w:themeColor="text1"/>
          <w:sz w:val="20"/>
          <w:szCs w:val="20"/>
        </w:rPr>
        <w:t xml:space="preserve">. </w:t>
      </w:r>
      <w:r w:rsidRPr="000D4E30">
        <w:rPr>
          <w:iCs/>
          <w:color w:val="000000" w:themeColor="text1"/>
          <w:sz w:val="20"/>
          <w:szCs w:val="20"/>
        </w:rPr>
        <w:t xml:space="preserve">In summary, we have the following </w:t>
      </w:r>
      <w:r w:rsidR="00FB6D7B" w:rsidRPr="000D4E30">
        <w:rPr>
          <w:iCs/>
          <w:color w:val="000000" w:themeColor="text1"/>
          <w:sz w:val="20"/>
          <w:szCs w:val="20"/>
        </w:rPr>
        <w:t>proposal</w:t>
      </w:r>
      <w:r w:rsidR="00630849" w:rsidRPr="000D4E30">
        <w:rPr>
          <w:iCs/>
          <w:color w:val="000000" w:themeColor="text1"/>
          <w:sz w:val="20"/>
          <w:szCs w:val="20"/>
        </w:rPr>
        <w:t>.</w:t>
      </w:r>
    </w:p>
    <w:p w14:paraId="08448B2B" w14:textId="1CF8F884" w:rsidR="00847A69" w:rsidRDefault="00847A69" w:rsidP="00BC0557">
      <w:pPr>
        <w:rPr>
          <w:iCs/>
          <w:color w:val="000000" w:themeColor="text1"/>
          <w:sz w:val="20"/>
          <w:szCs w:val="20"/>
        </w:rPr>
      </w:pPr>
    </w:p>
    <w:p w14:paraId="6281A94F" w14:textId="77777777" w:rsidR="008B635C" w:rsidRPr="00BA2C37" w:rsidRDefault="008B635C" w:rsidP="008B635C">
      <w:pPr>
        <w:spacing w:after="120"/>
        <w:rPr>
          <w:b/>
          <w:bCs/>
          <w:i/>
          <w:iCs/>
          <w:color w:val="000000" w:themeColor="text1"/>
        </w:rPr>
      </w:pPr>
      <w:r w:rsidRPr="00BA2C37">
        <w:rPr>
          <w:b/>
          <w:bCs/>
          <w:i/>
          <w:iCs/>
          <w:color w:val="000000" w:themeColor="text1"/>
        </w:rPr>
        <w:t xml:space="preserve">Proposal 1: For RRC_IDLE/RRC_INACTIVE UEs, for broadcast reception, Case B and Case D are </w:t>
      </w:r>
      <w:r w:rsidRPr="00BA2C37">
        <w:rPr>
          <w:rFonts w:hint="eastAsia"/>
          <w:b/>
          <w:bCs/>
          <w:i/>
          <w:iCs/>
          <w:color w:val="000000" w:themeColor="text1"/>
        </w:rPr>
        <w:t>NOT</w:t>
      </w:r>
      <w:r w:rsidRPr="00BA2C37">
        <w:rPr>
          <w:b/>
          <w:bCs/>
          <w:i/>
          <w:iCs/>
          <w:color w:val="000000" w:themeColor="text1"/>
        </w:rPr>
        <w:t xml:space="preserve"> supported.</w:t>
      </w:r>
    </w:p>
    <w:p w14:paraId="2349159E" w14:textId="77777777" w:rsidR="008B635C" w:rsidRPr="00BA2C37" w:rsidRDefault="008B635C" w:rsidP="008B635C">
      <w:pPr>
        <w:spacing w:after="120"/>
        <w:rPr>
          <w:b/>
          <w:bCs/>
          <w:i/>
          <w:iCs/>
          <w:color w:val="000000" w:themeColor="text1"/>
        </w:rPr>
      </w:pPr>
      <w:r w:rsidRPr="00BA2C37">
        <w:rPr>
          <w:b/>
          <w:bCs/>
          <w:i/>
          <w:iCs/>
          <w:color w:val="000000" w:themeColor="text1"/>
        </w:rPr>
        <w:t>Proposal 2: For RRC_IDLE/RRC_INACTIVE UEs, for broadcast reception, Case C is used if initial DL BWP is configured in SIB1, and Case E is used otherwise.</w:t>
      </w:r>
    </w:p>
    <w:p w14:paraId="1662AC88" w14:textId="02B92961" w:rsidR="008B635C" w:rsidRDefault="00BA2C37" w:rsidP="00BC0557">
      <w:pPr>
        <w:rPr>
          <w:b/>
          <w:bCs/>
          <w:i/>
          <w:iCs/>
          <w:color w:val="000000" w:themeColor="text1"/>
        </w:rPr>
      </w:pPr>
      <w:r w:rsidRPr="00BA2C37">
        <w:rPr>
          <w:b/>
          <w:bCs/>
          <w:i/>
          <w:iCs/>
          <w:color w:val="000000" w:themeColor="text1"/>
        </w:rPr>
        <w:t xml:space="preserve">Proposal 3: Since PDCCH monitoring occasions are directly related to the SSB locations </w:t>
      </w:r>
      <w:r w:rsidRPr="00500D4B">
        <w:rPr>
          <w:b/>
          <w:bCs/>
          <w:i/>
          <w:iCs/>
          <w:color w:val="000000" w:themeColor="text1"/>
        </w:rPr>
        <w:t>due to beam sweeping, the higher layer parameter “MCCH duration” is no longer necessary. RAN1 should inform RAN2 about this and recommend to remove this parameter if there is no other use.</w:t>
      </w:r>
    </w:p>
    <w:p w14:paraId="14751AAC" w14:textId="77777777" w:rsidR="00BA2C37" w:rsidRDefault="00BA2C37" w:rsidP="00BC0557">
      <w:pPr>
        <w:rPr>
          <w:iCs/>
          <w:color w:val="000000" w:themeColor="text1"/>
          <w:sz w:val="20"/>
          <w:szCs w:val="20"/>
        </w:rPr>
      </w:pPr>
    </w:p>
    <w:p w14:paraId="0B7FDB14" w14:textId="77777777" w:rsidR="00B57E94" w:rsidRDefault="00B57E94" w:rsidP="00B57E94">
      <w:pPr>
        <w:rPr>
          <w:b/>
          <w:bCs/>
          <w:i/>
          <w:iCs/>
        </w:rPr>
      </w:pPr>
      <w:r w:rsidRPr="00FB3A48">
        <w:rPr>
          <w:b/>
          <w:bCs/>
          <w:i/>
          <w:iCs/>
        </w:rPr>
        <w:t xml:space="preserve">Proposal </w:t>
      </w:r>
      <w:r>
        <w:rPr>
          <w:b/>
          <w:bCs/>
          <w:i/>
          <w:iCs/>
        </w:rPr>
        <w:t>4</w:t>
      </w:r>
      <w:r w:rsidRPr="00FB3A48">
        <w:rPr>
          <w:b/>
          <w:bCs/>
          <w:i/>
          <w:iCs/>
        </w:rPr>
        <w:t>: The MBS window is defined as SFN mod T = offset, where the period T and offset are configured by the network. The MBS window is used to number PDCCH occasion from 0 for MTCH scheduling.</w:t>
      </w:r>
    </w:p>
    <w:p w14:paraId="430451ED" w14:textId="77777777" w:rsidR="00B57E94" w:rsidRPr="00FB3A48" w:rsidRDefault="00B57E94" w:rsidP="00B57E94">
      <w:pPr>
        <w:rPr>
          <w:b/>
          <w:bCs/>
          <w:i/>
          <w:iCs/>
        </w:rPr>
      </w:pPr>
    </w:p>
    <w:p w14:paraId="17C7CBC3" w14:textId="77777777" w:rsidR="00B57E94" w:rsidRPr="00FB3A48" w:rsidRDefault="00B57E94" w:rsidP="00B57E94">
      <w:pPr>
        <w:rPr>
          <w:b/>
          <w:bCs/>
          <w:i/>
          <w:iCs/>
        </w:rPr>
      </w:pPr>
      <w:r w:rsidRPr="00FB3A48">
        <w:rPr>
          <w:b/>
          <w:bCs/>
          <w:i/>
          <w:iCs/>
        </w:rPr>
        <w:t xml:space="preserve">Proposal </w:t>
      </w:r>
      <w:r>
        <w:rPr>
          <w:b/>
          <w:bCs/>
          <w:i/>
          <w:iCs/>
        </w:rPr>
        <w:t>5</w:t>
      </w:r>
      <w:r w:rsidRPr="00FB3A48">
        <w:rPr>
          <w:b/>
          <w:bCs/>
          <w:i/>
          <w:iCs/>
        </w:rPr>
        <w:t>a: The first PDCCH occasion of each data are configured by the network and the PDCCH occasion from configured first PDCCH occasion in ascending order can be mapped to SSB index in ascending order of their SSB indexes for corresponding data.</w:t>
      </w:r>
    </w:p>
    <w:p w14:paraId="66E0C96F" w14:textId="77777777" w:rsidR="00B57E94" w:rsidRPr="00FB3A48" w:rsidRDefault="00B57E94" w:rsidP="00B57E94">
      <w:pPr>
        <w:rPr>
          <w:b/>
          <w:bCs/>
          <w:i/>
          <w:iCs/>
        </w:rPr>
      </w:pPr>
    </w:p>
    <w:p w14:paraId="714B9DE6" w14:textId="0BB72486" w:rsidR="00B57E94" w:rsidRPr="00B57E94" w:rsidRDefault="00B57E94" w:rsidP="00BC0557">
      <w:pPr>
        <w:rPr>
          <w:b/>
          <w:bCs/>
          <w:i/>
          <w:iCs/>
        </w:rPr>
      </w:pPr>
      <w:r w:rsidRPr="00FB3A48">
        <w:rPr>
          <w:b/>
          <w:bCs/>
          <w:i/>
          <w:iCs/>
        </w:rPr>
        <w:t xml:space="preserve">Proposal </w:t>
      </w:r>
      <w:r>
        <w:rPr>
          <w:b/>
          <w:bCs/>
          <w:i/>
          <w:iCs/>
        </w:rPr>
        <w:t>5</w:t>
      </w:r>
      <w:r w:rsidRPr="00FB3A48">
        <w:rPr>
          <w:b/>
          <w:bCs/>
          <w:i/>
          <w:iCs/>
        </w:rPr>
        <w:t>b: If first PDCCH occasion of each data are not configured by the network, the PDCCH occasion from 0 in ascending order can be mapped to SSB index in ascending order of their SSB indexes data by data.</w:t>
      </w:r>
    </w:p>
    <w:p w14:paraId="70F1E8E0" w14:textId="77777777" w:rsidR="00B57E94" w:rsidRPr="008B635C" w:rsidRDefault="00B57E94" w:rsidP="00BC0557">
      <w:pPr>
        <w:rPr>
          <w:iCs/>
          <w:color w:val="000000" w:themeColor="text1"/>
          <w:sz w:val="20"/>
          <w:szCs w:val="20"/>
        </w:rPr>
      </w:pPr>
    </w:p>
    <w:p w14:paraId="4B1FFBCE" w14:textId="77777777" w:rsidR="00B57E94" w:rsidRPr="00B57E94" w:rsidRDefault="00B57E94" w:rsidP="00B57E94">
      <w:pPr>
        <w:spacing w:after="120"/>
        <w:rPr>
          <w:b/>
          <w:i/>
          <w:color w:val="000000" w:themeColor="text1"/>
        </w:rPr>
      </w:pPr>
      <w:r w:rsidRPr="00B57E94">
        <w:rPr>
          <w:b/>
          <w:i/>
          <w:color w:val="000000" w:themeColor="text1"/>
        </w:rPr>
        <w:t>Proposal 6: It is proposed for RRC idle and inactive state UEs to provide HARQ feedback in order to meet reliability requirement of MBS application/service.</w:t>
      </w:r>
    </w:p>
    <w:p w14:paraId="250BDF96" w14:textId="77777777" w:rsidR="00B57E94" w:rsidRPr="00B57E94" w:rsidRDefault="00B57E94" w:rsidP="00B57E94">
      <w:pPr>
        <w:pStyle w:val="ListParagraph"/>
        <w:numPr>
          <w:ilvl w:val="0"/>
          <w:numId w:val="42"/>
        </w:numPr>
        <w:spacing w:after="360"/>
        <w:ind w:leftChars="0"/>
        <w:rPr>
          <w:rFonts w:ascii="Arial" w:hAnsi="Arial" w:cs="Arial"/>
          <w:b/>
          <w:i/>
          <w:color w:val="000000" w:themeColor="text1"/>
          <w:sz w:val="21"/>
          <w:szCs w:val="21"/>
        </w:rPr>
      </w:pPr>
      <w:r w:rsidRPr="00B57E94">
        <w:rPr>
          <w:rFonts w:ascii="Arial" w:hAnsi="Arial" w:cs="Arial"/>
          <w:b/>
          <w:i/>
          <w:color w:val="000000" w:themeColor="text1"/>
          <w:sz w:val="21"/>
          <w:szCs w:val="21"/>
        </w:rPr>
        <w:lastRenderedPageBreak/>
        <w:t>Only NACK feedback is needed since the number of RRC idle and inactive state UEs may not be accurately known by the network.</w:t>
      </w:r>
    </w:p>
    <w:p w14:paraId="0098F27A" w14:textId="4C83EF69" w:rsidR="00EA5E87" w:rsidRPr="00B57E94" w:rsidRDefault="00B57E94" w:rsidP="00EA5E87">
      <w:pPr>
        <w:spacing w:after="120"/>
        <w:rPr>
          <w:b/>
          <w:i/>
          <w:color w:val="000000" w:themeColor="text1"/>
        </w:rPr>
      </w:pPr>
      <w:r w:rsidRPr="00B57E94">
        <w:rPr>
          <w:b/>
          <w:i/>
          <w:color w:val="000000" w:themeColor="text1"/>
        </w:rPr>
        <w:t>Proposal 7: To support “only NACK” HARQ feedback for idle and inactive UEs, it should be further consider using PUCCH or PRACH.</w:t>
      </w:r>
    </w:p>
    <w:p w14:paraId="7DF7A34B" w14:textId="77777777" w:rsidR="00EA5E87" w:rsidRPr="00EA5E87" w:rsidRDefault="00EA5E87" w:rsidP="00EA5E87">
      <w:pPr>
        <w:spacing w:after="120"/>
        <w:rPr>
          <w:b/>
          <w:i/>
          <w:color w:val="000000" w:themeColor="text1"/>
          <w:szCs w:val="20"/>
        </w:rPr>
      </w:pPr>
    </w:p>
    <w:p w14:paraId="0BBD0FE5" w14:textId="77777777" w:rsidR="00844516" w:rsidRPr="00844516" w:rsidRDefault="00844516" w:rsidP="00844516">
      <w:pPr>
        <w:spacing w:after="120"/>
        <w:rPr>
          <w:b/>
          <w:sz w:val="20"/>
          <w:szCs w:val="20"/>
        </w:rPr>
      </w:pPr>
      <w:r w:rsidRPr="00844516">
        <w:rPr>
          <w:b/>
          <w:sz w:val="20"/>
          <w:szCs w:val="20"/>
        </w:rPr>
        <w:t>4. References</w:t>
      </w:r>
    </w:p>
    <w:p w14:paraId="112F2715" w14:textId="2F857586" w:rsidR="00844516" w:rsidRPr="00844516" w:rsidRDefault="00844516" w:rsidP="00844516">
      <w:pPr>
        <w:tabs>
          <w:tab w:val="left" w:pos="284"/>
        </w:tabs>
        <w:spacing w:after="60"/>
        <w:rPr>
          <w:bCs/>
          <w:iCs/>
          <w:sz w:val="20"/>
          <w:szCs w:val="20"/>
        </w:rPr>
      </w:pPr>
      <w:r w:rsidRPr="00844516">
        <w:rPr>
          <w:bCs/>
          <w:iCs/>
          <w:sz w:val="20"/>
          <w:szCs w:val="20"/>
        </w:rPr>
        <w:t>[1]</w:t>
      </w:r>
      <w:r w:rsidRPr="00844516">
        <w:rPr>
          <w:bCs/>
          <w:iCs/>
          <w:sz w:val="20"/>
          <w:szCs w:val="20"/>
        </w:rPr>
        <w:tab/>
        <w:t>RP-201</w:t>
      </w:r>
      <w:r>
        <w:rPr>
          <w:bCs/>
          <w:iCs/>
          <w:sz w:val="20"/>
          <w:szCs w:val="20"/>
        </w:rPr>
        <w:t>038</w:t>
      </w:r>
      <w:r w:rsidRPr="00844516">
        <w:rPr>
          <w:bCs/>
          <w:iCs/>
          <w:sz w:val="20"/>
          <w:szCs w:val="20"/>
        </w:rPr>
        <w:t xml:space="preserve">, “WID revision: NR Multicast and Broadcast Services”, </w:t>
      </w:r>
      <w:r>
        <w:rPr>
          <w:bCs/>
          <w:iCs/>
          <w:sz w:val="20"/>
          <w:szCs w:val="20"/>
        </w:rPr>
        <w:t>Huawei, HiSilicon</w:t>
      </w:r>
      <w:r w:rsidRPr="00844516">
        <w:rPr>
          <w:bCs/>
          <w:iCs/>
          <w:sz w:val="20"/>
          <w:szCs w:val="20"/>
        </w:rPr>
        <w:t>, RAN#88e</w:t>
      </w:r>
    </w:p>
    <w:sectPr w:rsidR="00844516" w:rsidRPr="00844516">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0B3B9" w14:textId="77777777" w:rsidR="00903ACF" w:rsidRDefault="00903ACF" w:rsidP="00511BDE">
      <w:r>
        <w:separator/>
      </w:r>
    </w:p>
  </w:endnote>
  <w:endnote w:type="continuationSeparator" w:id="0">
    <w:p w14:paraId="701D5C21" w14:textId="77777777" w:rsidR="00903ACF" w:rsidRDefault="00903ACF" w:rsidP="0051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D606A" w14:textId="287D5A20" w:rsidR="00511BDE" w:rsidRPr="00511BDE" w:rsidRDefault="00511BDE">
    <w:pPr>
      <w:pStyle w:val="Footer"/>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Pr="00511BDE">
          <w:rPr>
            <w:rFonts w:ascii="Times New Roman" w:hAnsi="Times New Roman" w:cs="Times New Roman"/>
            <w:noProof/>
            <w:sz w:val="20"/>
          </w:rPr>
          <w:t>2</w:t>
        </w:r>
        <w:r w:rsidRPr="00511BDE">
          <w:rPr>
            <w:rFonts w:ascii="Times New Roman" w:hAnsi="Times New Roman" w:cs="Times New Roman"/>
            <w:noProof/>
            <w:sz w:val="20"/>
          </w:rPr>
          <w:fldChar w:fldCharType="end"/>
        </w:r>
      </w:sdtContent>
    </w:sdt>
  </w:p>
  <w:p w14:paraId="0EB60F99" w14:textId="77777777" w:rsidR="00511BDE" w:rsidRDefault="00511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93968" w14:textId="77777777" w:rsidR="00903ACF" w:rsidRDefault="00903ACF" w:rsidP="00511BDE">
      <w:r>
        <w:separator/>
      </w:r>
    </w:p>
  </w:footnote>
  <w:footnote w:type="continuationSeparator" w:id="0">
    <w:p w14:paraId="3D03A0A9" w14:textId="77777777" w:rsidR="00903ACF" w:rsidRDefault="00903ACF" w:rsidP="0051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0D45BA"/>
    <w:multiLevelType w:val="hybridMultilevel"/>
    <w:tmpl w:val="D116E1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E2292D"/>
    <w:multiLevelType w:val="hybridMultilevel"/>
    <w:tmpl w:val="991C3C08"/>
    <w:lvl w:ilvl="0" w:tplc="909AFA78">
      <w:start w:val="1"/>
      <w:numFmt w:val="bullet"/>
      <w:lvlText w:val="•"/>
      <w:lvlJc w:val="left"/>
      <w:pPr>
        <w:tabs>
          <w:tab w:val="num" w:pos="720"/>
        </w:tabs>
        <w:ind w:left="720" w:hanging="360"/>
      </w:pPr>
      <w:rPr>
        <w:rFonts w:ascii="Arial" w:hAnsi="Arial" w:hint="default"/>
      </w:rPr>
    </w:lvl>
    <w:lvl w:ilvl="1" w:tplc="8054957E">
      <w:start w:val="1"/>
      <w:numFmt w:val="bullet"/>
      <w:lvlText w:val="•"/>
      <w:lvlJc w:val="left"/>
      <w:pPr>
        <w:tabs>
          <w:tab w:val="num" w:pos="1440"/>
        </w:tabs>
        <w:ind w:left="1440" w:hanging="360"/>
      </w:pPr>
      <w:rPr>
        <w:rFonts w:ascii="Arial" w:hAnsi="Arial" w:hint="default"/>
      </w:rPr>
    </w:lvl>
    <w:lvl w:ilvl="2" w:tplc="6C4E8BA8">
      <w:start w:val="25"/>
      <w:numFmt w:val="bullet"/>
      <w:lvlText w:val="•"/>
      <w:lvlJc w:val="left"/>
      <w:pPr>
        <w:tabs>
          <w:tab w:val="num" w:pos="2160"/>
        </w:tabs>
        <w:ind w:left="2160" w:hanging="360"/>
      </w:pPr>
      <w:rPr>
        <w:rFonts w:ascii="Arial" w:hAnsi="Arial" w:hint="default"/>
      </w:rPr>
    </w:lvl>
    <w:lvl w:ilvl="3" w:tplc="13840F04" w:tentative="1">
      <w:start w:val="1"/>
      <w:numFmt w:val="bullet"/>
      <w:lvlText w:val="•"/>
      <w:lvlJc w:val="left"/>
      <w:pPr>
        <w:tabs>
          <w:tab w:val="num" w:pos="2880"/>
        </w:tabs>
        <w:ind w:left="2880" w:hanging="360"/>
      </w:pPr>
      <w:rPr>
        <w:rFonts w:ascii="Arial" w:hAnsi="Arial" w:hint="default"/>
      </w:rPr>
    </w:lvl>
    <w:lvl w:ilvl="4" w:tplc="91609422" w:tentative="1">
      <w:start w:val="1"/>
      <w:numFmt w:val="bullet"/>
      <w:lvlText w:val="•"/>
      <w:lvlJc w:val="left"/>
      <w:pPr>
        <w:tabs>
          <w:tab w:val="num" w:pos="3600"/>
        </w:tabs>
        <w:ind w:left="3600" w:hanging="360"/>
      </w:pPr>
      <w:rPr>
        <w:rFonts w:ascii="Arial" w:hAnsi="Arial" w:hint="default"/>
      </w:rPr>
    </w:lvl>
    <w:lvl w:ilvl="5" w:tplc="7ED88618" w:tentative="1">
      <w:start w:val="1"/>
      <w:numFmt w:val="bullet"/>
      <w:lvlText w:val="•"/>
      <w:lvlJc w:val="left"/>
      <w:pPr>
        <w:tabs>
          <w:tab w:val="num" w:pos="4320"/>
        </w:tabs>
        <w:ind w:left="4320" w:hanging="360"/>
      </w:pPr>
      <w:rPr>
        <w:rFonts w:ascii="Arial" w:hAnsi="Arial" w:hint="default"/>
      </w:rPr>
    </w:lvl>
    <w:lvl w:ilvl="6" w:tplc="CD584160" w:tentative="1">
      <w:start w:val="1"/>
      <w:numFmt w:val="bullet"/>
      <w:lvlText w:val="•"/>
      <w:lvlJc w:val="left"/>
      <w:pPr>
        <w:tabs>
          <w:tab w:val="num" w:pos="5040"/>
        </w:tabs>
        <w:ind w:left="5040" w:hanging="360"/>
      </w:pPr>
      <w:rPr>
        <w:rFonts w:ascii="Arial" w:hAnsi="Arial" w:hint="default"/>
      </w:rPr>
    </w:lvl>
    <w:lvl w:ilvl="7" w:tplc="91783382" w:tentative="1">
      <w:start w:val="1"/>
      <w:numFmt w:val="bullet"/>
      <w:lvlText w:val="•"/>
      <w:lvlJc w:val="left"/>
      <w:pPr>
        <w:tabs>
          <w:tab w:val="num" w:pos="5760"/>
        </w:tabs>
        <w:ind w:left="5760" w:hanging="360"/>
      </w:pPr>
      <w:rPr>
        <w:rFonts w:ascii="Arial" w:hAnsi="Arial" w:hint="default"/>
      </w:rPr>
    </w:lvl>
    <w:lvl w:ilvl="8" w:tplc="811C97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137FD5"/>
    <w:multiLevelType w:val="hybridMultilevel"/>
    <w:tmpl w:val="DD9E78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9E1D3A"/>
    <w:multiLevelType w:val="hybridMultilevel"/>
    <w:tmpl w:val="F2068144"/>
    <w:lvl w:ilvl="0" w:tplc="75C44F82">
      <w:start w:val="1"/>
      <w:numFmt w:val="bullet"/>
      <w:lvlText w:val="•"/>
      <w:lvlJc w:val="left"/>
      <w:pPr>
        <w:tabs>
          <w:tab w:val="num" w:pos="360"/>
        </w:tabs>
        <w:ind w:left="360" w:hanging="360"/>
      </w:pPr>
      <w:rPr>
        <w:rFonts w:ascii="Arial" w:hAnsi="Arial" w:hint="default"/>
      </w:rPr>
    </w:lvl>
    <w:lvl w:ilvl="1" w:tplc="9146D2C2">
      <w:start w:val="277"/>
      <w:numFmt w:val="bullet"/>
      <w:lvlText w:val="–"/>
      <w:lvlJc w:val="left"/>
      <w:pPr>
        <w:tabs>
          <w:tab w:val="num" w:pos="1080"/>
        </w:tabs>
        <w:ind w:left="1080" w:hanging="360"/>
      </w:pPr>
      <w:rPr>
        <w:rFonts w:ascii="Arial" w:hAnsi="Arial" w:hint="default"/>
      </w:rPr>
    </w:lvl>
    <w:lvl w:ilvl="2" w:tplc="EA321556" w:tentative="1">
      <w:start w:val="1"/>
      <w:numFmt w:val="bullet"/>
      <w:lvlText w:val="•"/>
      <w:lvlJc w:val="left"/>
      <w:pPr>
        <w:tabs>
          <w:tab w:val="num" w:pos="1800"/>
        </w:tabs>
        <w:ind w:left="1800" w:hanging="360"/>
      </w:pPr>
      <w:rPr>
        <w:rFonts w:ascii="Arial" w:hAnsi="Arial" w:hint="default"/>
      </w:rPr>
    </w:lvl>
    <w:lvl w:ilvl="3" w:tplc="0234E030" w:tentative="1">
      <w:start w:val="1"/>
      <w:numFmt w:val="bullet"/>
      <w:lvlText w:val="•"/>
      <w:lvlJc w:val="left"/>
      <w:pPr>
        <w:tabs>
          <w:tab w:val="num" w:pos="2520"/>
        </w:tabs>
        <w:ind w:left="2520" w:hanging="360"/>
      </w:pPr>
      <w:rPr>
        <w:rFonts w:ascii="Arial" w:hAnsi="Arial" w:hint="default"/>
      </w:rPr>
    </w:lvl>
    <w:lvl w:ilvl="4" w:tplc="19B6D838" w:tentative="1">
      <w:start w:val="1"/>
      <w:numFmt w:val="bullet"/>
      <w:lvlText w:val="•"/>
      <w:lvlJc w:val="left"/>
      <w:pPr>
        <w:tabs>
          <w:tab w:val="num" w:pos="3240"/>
        </w:tabs>
        <w:ind w:left="3240" w:hanging="360"/>
      </w:pPr>
      <w:rPr>
        <w:rFonts w:ascii="Arial" w:hAnsi="Arial" w:hint="default"/>
      </w:rPr>
    </w:lvl>
    <w:lvl w:ilvl="5" w:tplc="9BF0B006" w:tentative="1">
      <w:start w:val="1"/>
      <w:numFmt w:val="bullet"/>
      <w:lvlText w:val="•"/>
      <w:lvlJc w:val="left"/>
      <w:pPr>
        <w:tabs>
          <w:tab w:val="num" w:pos="3960"/>
        </w:tabs>
        <w:ind w:left="3960" w:hanging="360"/>
      </w:pPr>
      <w:rPr>
        <w:rFonts w:ascii="Arial" w:hAnsi="Arial" w:hint="default"/>
      </w:rPr>
    </w:lvl>
    <w:lvl w:ilvl="6" w:tplc="6EB48DA6" w:tentative="1">
      <w:start w:val="1"/>
      <w:numFmt w:val="bullet"/>
      <w:lvlText w:val="•"/>
      <w:lvlJc w:val="left"/>
      <w:pPr>
        <w:tabs>
          <w:tab w:val="num" w:pos="4680"/>
        </w:tabs>
        <w:ind w:left="4680" w:hanging="360"/>
      </w:pPr>
      <w:rPr>
        <w:rFonts w:ascii="Arial" w:hAnsi="Arial" w:hint="default"/>
      </w:rPr>
    </w:lvl>
    <w:lvl w:ilvl="7" w:tplc="B3929BF4" w:tentative="1">
      <w:start w:val="1"/>
      <w:numFmt w:val="bullet"/>
      <w:lvlText w:val="•"/>
      <w:lvlJc w:val="left"/>
      <w:pPr>
        <w:tabs>
          <w:tab w:val="num" w:pos="5400"/>
        </w:tabs>
        <w:ind w:left="5400" w:hanging="360"/>
      </w:pPr>
      <w:rPr>
        <w:rFonts w:ascii="Arial" w:hAnsi="Arial" w:hint="default"/>
      </w:rPr>
    </w:lvl>
    <w:lvl w:ilvl="8" w:tplc="49443A7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95E85"/>
    <w:multiLevelType w:val="hybridMultilevel"/>
    <w:tmpl w:val="DD56DB28"/>
    <w:lvl w:ilvl="0" w:tplc="07FCB72C">
      <w:start w:val="1"/>
      <w:numFmt w:val="bullet"/>
      <w:lvlText w:val="•"/>
      <w:lvlJc w:val="left"/>
      <w:pPr>
        <w:tabs>
          <w:tab w:val="num" w:pos="720"/>
        </w:tabs>
        <w:ind w:left="720" w:hanging="360"/>
      </w:pPr>
      <w:rPr>
        <w:rFonts w:ascii="Arial" w:hAnsi="Arial" w:hint="default"/>
      </w:rPr>
    </w:lvl>
    <w:lvl w:ilvl="1" w:tplc="A87AF60E">
      <w:start w:val="1"/>
      <w:numFmt w:val="bullet"/>
      <w:lvlText w:val="•"/>
      <w:lvlJc w:val="left"/>
      <w:pPr>
        <w:tabs>
          <w:tab w:val="num" w:pos="1440"/>
        </w:tabs>
        <w:ind w:left="1440" w:hanging="360"/>
      </w:pPr>
      <w:rPr>
        <w:rFonts w:ascii="Arial" w:hAnsi="Arial" w:hint="default"/>
      </w:rPr>
    </w:lvl>
    <w:lvl w:ilvl="2" w:tplc="12BE5288">
      <w:start w:val="23002"/>
      <w:numFmt w:val="bullet"/>
      <w:lvlText w:val="•"/>
      <w:lvlJc w:val="left"/>
      <w:pPr>
        <w:tabs>
          <w:tab w:val="num" w:pos="2160"/>
        </w:tabs>
        <w:ind w:left="2160" w:hanging="360"/>
      </w:pPr>
      <w:rPr>
        <w:rFonts w:ascii="Arial" w:hAnsi="Arial" w:hint="default"/>
      </w:rPr>
    </w:lvl>
    <w:lvl w:ilvl="3" w:tplc="BDCE124E">
      <w:start w:val="23002"/>
      <w:numFmt w:val="bullet"/>
      <w:lvlText w:val="•"/>
      <w:lvlJc w:val="left"/>
      <w:pPr>
        <w:tabs>
          <w:tab w:val="num" w:pos="2880"/>
        </w:tabs>
        <w:ind w:left="2880" w:hanging="360"/>
      </w:pPr>
      <w:rPr>
        <w:rFonts w:ascii="Arial" w:hAnsi="Arial" w:hint="default"/>
      </w:rPr>
    </w:lvl>
    <w:lvl w:ilvl="4" w:tplc="B7E0A104" w:tentative="1">
      <w:start w:val="1"/>
      <w:numFmt w:val="bullet"/>
      <w:lvlText w:val="•"/>
      <w:lvlJc w:val="left"/>
      <w:pPr>
        <w:tabs>
          <w:tab w:val="num" w:pos="3600"/>
        </w:tabs>
        <w:ind w:left="3600" w:hanging="360"/>
      </w:pPr>
      <w:rPr>
        <w:rFonts w:ascii="Arial" w:hAnsi="Arial" w:hint="default"/>
      </w:rPr>
    </w:lvl>
    <w:lvl w:ilvl="5" w:tplc="8E8622B8" w:tentative="1">
      <w:start w:val="1"/>
      <w:numFmt w:val="bullet"/>
      <w:lvlText w:val="•"/>
      <w:lvlJc w:val="left"/>
      <w:pPr>
        <w:tabs>
          <w:tab w:val="num" w:pos="4320"/>
        </w:tabs>
        <w:ind w:left="4320" w:hanging="360"/>
      </w:pPr>
      <w:rPr>
        <w:rFonts w:ascii="Arial" w:hAnsi="Arial" w:hint="default"/>
      </w:rPr>
    </w:lvl>
    <w:lvl w:ilvl="6" w:tplc="45789DA8" w:tentative="1">
      <w:start w:val="1"/>
      <w:numFmt w:val="bullet"/>
      <w:lvlText w:val="•"/>
      <w:lvlJc w:val="left"/>
      <w:pPr>
        <w:tabs>
          <w:tab w:val="num" w:pos="5040"/>
        </w:tabs>
        <w:ind w:left="5040" w:hanging="360"/>
      </w:pPr>
      <w:rPr>
        <w:rFonts w:ascii="Arial" w:hAnsi="Arial" w:hint="default"/>
      </w:rPr>
    </w:lvl>
    <w:lvl w:ilvl="7" w:tplc="A712E228" w:tentative="1">
      <w:start w:val="1"/>
      <w:numFmt w:val="bullet"/>
      <w:lvlText w:val="•"/>
      <w:lvlJc w:val="left"/>
      <w:pPr>
        <w:tabs>
          <w:tab w:val="num" w:pos="5760"/>
        </w:tabs>
        <w:ind w:left="5760" w:hanging="360"/>
      </w:pPr>
      <w:rPr>
        <w:rFonts w:ascii="Arial" w:hAnsi="Arial" w:hint="default"/>
      </w:rPr>
    </w:lvl>
    <w:lvl w:ilvl="8" w:tplc="A02C299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EA115C"/>
    <w:multiLevelType w:val="hybridMultilevel"/>
    <w:tmpl w:val="46F0C2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B152D2"/>
    <w:multiLevelType w:val="hybridMultilevel"/>
    <w:tmpl w:val="09B234C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C367C"/>
    <w:multiLevelType w:val="hybridMultilevel"/>
    <w:tmpl w:val="A030E5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16E6323"/>
    <w:multiLevelType w:val="hybridMultilevel"/>
    <w:tmpl w:val="82489162"/>
    <w:lvl w:ilvl="0" w:tplc="001EC762">
      <w:numFmt w:val="bullet"/>
      <w:lvlText w:val=""/>
      <w:lvlJc w:val="left"/>
      <w:pPr>
        <w:ind w:left="720" w:hanging="360"/>
      </w:pPr>
      <w:rPr>
        <w:rFonts w:ascii="Symbol" w:eastAsia="Batang"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50561C6"/>
    <w:multiLevelType w:val="hybridMultilevel"/>
    <w:tmpl w:val="7F8246A2"/>
    <w:lvl w:ilvl="0" w:tplc="19D6A18E">
      <w:start w:val="1"/>
      <w:numFmt w:val="bullet"/>
      <w:lvlText w:val="•"/>
      <w:lvlJc w:val="left"/>
      <w:pPr>
        <w:tabs>
          <w:tab w:val="num" w:pos="720"/>
        </w:tabs>
        <w:ind w:left="720" w:hanging="360"/>
      </w:pPr>
      <w:rPr>
        <w:rFonts w:ascii="Arial" w:hAnsi="Arial" w:hint="default"/>
      </w:rPr>
    </w:lvl>
    <w:lvl w:ilvl="1" w:tplc="3D5ECA52">
      <w:start w:val="1"/>
      <w:numFmt w:val="bullet"/>
      <w:lvlText w:val="•"/>
      <w:lvlJc w:val="left"/>
      <w:pPr>
        <w:tabs>
          <w:tab w:val="num" w:pos="1440"/>
        </w:tabs>
        <w:ind w:left="1440" w:hanging="360"/>
      </w:pPr>
      <w:rPr>
        <w:rFonts w:ascii="Arial" w:hAnsi="Arial" w:hint="default"/>
      </w:rPr>
    </w:lvl>
    <w:lvl w:ilvl="2" w:tplc="5B0896AC" w:tentative="1">
      <w:start w:val="1"/>
      <w:numFmt w:val="bullet"/>
      <w:lvlText w:val="•"/>
      <w:lvlJc w:val="left"/>
      <w:pPr>
        <w:tabs>
          <w:tab w:val="num" w:pos="2160"/>
        </w:tabs>
        <w:ind w:left="2160" w:hanging="360"/>
      </w:pPr>
      <w:rPr>
        <w:rFonts w:ascii="Arial" w:hAnsi="Arial" w:hint="default"/>
      </w:rPr>
    </w:lvl>
    <w:lvl w:ilvl="3" w:tplc="ABA6B056">
      <w:start w:val="25"/>
      <w:numFmt w:val="bullet"/>
      <w:lvlText w:val="•"/>
      <w:lvlJc w:val="left"/>
      <w:pPr>
        <w:tabs>
          <w:tab w:val="num" w:pos="2880"/>
        </w:tabs>
        <w:ind w:left="2880" w:hanging="360"/>
      </w:pPr>
      <w:rPr>
        <w:rFonts w:ascii="Arial" w:hAnsi="Arial" w:hint="default"/>
      </w:rPr>
    </w:lvl>
    <w:lvl w:ilvl="4" w:tplc="70AAB656" w:tentative="1">
      <w:start w:val="1"/>
      <w:numFmt w:val="bullet"/>
      <w:lvlText w:val="•"/>
      <w:lvlJc w:val="left"/>
      <w:pPr>
        <w:tabs>
          <w:tab w:val="num" w:pos="3600"/>
        </w:tabs>
        <w:ind w:left="3600" w:hanging="360"/>
      </w:pPr>
      <w:rPr>
        <w:rFonts w:ascii="Arial" w:hAnsi="Arial" w:hint="default"/>
      </w:rPr>
    </w:lvl>
    <w:lvl w:ilvl="5" w:tplc="7ACEC150" w:tentative="1">
      <w:start w:val="1"/>
      <w:numFmt w:val="bullet"/>
      <w:lvlText w:val="•"/>
      <w:lvlJc w:val="left"/>
      <w:pPr>
        <w:tabs>
          <w:tab w:val="num" w:pos="4320"/>
        </w:tabs>
        <w:ind w:left="4320" w:hanging="360"/>
      </w:pPr>
      <w:rPr>
        <w:rFonts w:ascii="Arial" w:hAnsi="Arial" w:hint="default"/>
      </w:rPr>
    </w:lvl>
    <w:lvl w:ilvl="6" w:tplc="92287386" w:tentative="1">
      <w:start w:val="1"/>
      <w:numFmt w:val="bullet"/>
      <w:lvlText w:val="•"/>
      <w:lvlJc w:val="left"/>
      <w:pPr>
        <w:tabs>
          <w:tab w:val="num" w:pos="5040"/>
        </w:tabs>
        <w:ind w:left="5040" w:hanging="360"/>
      </w:pPr>
      <w:rPr>
        <w:rFonts w:ascii="Arial" w:hAnsi="Arial" w:hint="default"/>
      </w:rPr>
    </w:lvl>
    <w:lvl w:ilvl="7" w:tplc="59F0B256" w:tentative="1">
      <w:start w:val="1"/>
      <w:numFmt w:val="bullet"/>
      <w:lvlText w:val="•"/>
      <w:lvlJc w:val="left"/>
      <w:pPr>
        <w:tabs>
          <w:tab w:val="num" w:pos="5760"/>
        </w:tabs>
        <w:ind w:left="5760" w:hanging="360"/>
      </w:pPr>
      <w:rPr>
        <w:rFonts w:ascii="Arial" w:hAnsi="Arial" w:hint="default"/>
      </w:rPr>
    </w:lvl>
    <w:lvl w:ilvl="8" w:tplc="0F3CC64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FE325F"/>
    <w:multiLevelType w:val="hybridMultilevel"/>
    <w:tmpl w:val="48E4DCA6"/>
    <w:lvl w:ilvl="0" w:tplc="A63861C8">
      <w:start w:val="1"/>
      <w:numFmt w:val="bullet"/>
      <w:lvlText w:val=""/>
      <w:lvlJc w:val="left"/>
      <w:pPr>
        <w:ind w:left="1496" w:hanging="360"/>
      </w:pPr>
      <w:rPr>
        <w:rFonts w:ascii="Symbol" w:hAnsi="Symbol" w:hint="default"/>
      </w:rPr>
    </w:lvl>
    <w:lvl w:ilvl="1" w:tplc="08090003">
      <w:start w:val="1"/>
      <w:numFmt w:val="bullet"/>
      <w:lvlText w:val="o"/>
      <w:lvlJc w:val="left"/>
      <w:pPr>
        <w:ind w:left="2216" w:hanging="360"/>
      </w:pPr>
      <w:rPr>
        <w:rFonts w:ascii="Courier New" w:hAnsi="Courier New" w:cs="Courier New" w:hint="default"/>
      </w:rPr>
    </w:lvl>
    <w:lvl w:ilvl="2" w:tplc="08090005">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0"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144139"/>
    <w:multiLevelType w:val="hybridMultilevel"/>
    <w:tmpl w:val="3AF8C5A6"/>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764" w:hanging="420"/>
      </w:pPr>
      <w:rPr>
        <w:rFonts w:ascii="Courier New" w:hAnsi="Courier New" w:cs="Courier New" w:hint="default"/>
      </w:rPr>
    </w:lvl>
    <w:lvl w:ilvl="2" w:tplc="08090005">
      <w:start w:val="1"/>
      <w:numFmt w:val="bullet"/>
      <w:lvlText w:val=""/>
      <w:lvlJc w:val="left"/>
      <w:pPr>
        <w:ind w:left="1184" w:hanging="420"/>
      </w:pPr>
      <w:rPr>
        <w:rFonts w:ascii="Wingdings" w:hAnsi="Wingdings" w:hint="default"/>
      </w:rPr>
    </w:lvl>
    <w:lvl w:ilvl="3" w:tplc="04090001">
      <w:start w:val="1"/>
      <w:numFmt w:val="bullet"/>
      <w:lvlText w:val=""/>
      <w:lvlJc w:val="left"/>
      <w:pPr>
        <w:ind w:left="1604" w:hanging="420"/>
      </w:pPr>
      <w:rPr>
        <w:rFonts w:ascii="Wingdings" w:hAnsi="Wingdings" w:hint="default"/>
      </w:rPr>
    </w:lvl>
    <w:lvl w:ilvl="4" w:tplc="04090003" w:tentative="1">
      <w:start w:val="1"/>
      <w:numFmt w:val="bullet"/>
      <w:lvlText w:val=""/>
      <w:lvlJc w:val="left"/>
      <w:pPr>
        <w:ind w:left="2024" w:hanging="420"/>
      </w:pPr>
      <w:rPr>
        <w:rFonts w:ascii="Wingdings" w:hAnsi="Wingdings" w:hint="default"/>
      </w:rPr>
    </w:lvl>
    <w:lvl w:ilvl="5" w:tplc="04090005" w:tentative="1">
      <w:start w:val="1"/>
      <w:numFmt w:val="bullet"/>
      <w:lvlText w:val=""/>
      <w:lvlJc w:val="left"/>
      <w:pPr>
        <w:ind w:left="2444" w:hanging="420"/>
      </w:pPr>
      <w:rPr>
        <w:rFonts w:ascii="Wingdings" w:hAnsi="Wingdings" w:hint="default"/>
      </w:rPr>
    </w:lvl>
    <w:lvl w:ilvl="6" w:tplc="04090001" w:tentative="1">
      <w:start w:val="1"/>
      <w:numFmt w:val="bullet"/>
      <w:lvlText w:val=""/>
      <w:lvlJc w:val="left"/>
      <w:pPr>
        <w:ind w:left="2864" w:hanging="420"/>
      </w:pPr>
      <w:rPr>
        <w:rFonts w:ascii="Wingdings" w:hAnsi="Wingdings" w:hint="default"/>
      </w:rPr>
    </w:lvl>
    <w:lvl w:ilvl="7" w:tplc="04090003" w:tentative="1">
      <w:start w:val="1"/>
      <w:numFmt w:val="bullet"/>
      <w:lvlText w:val=""/>
      <w:lvlJc w:val="left"/>
      <w:pPr>
        <w:ind w:left="3284" w:hanging="420"/>
      </w:pPr>
      <w:rPr>
        <w:rFonts w:ascii="Wingdings" w:hAnsi="Wingdings" w:hint="default"/>
      </w:rPr>
    </w:lvl>
    <w:lvl w:ilvl="8" w:tplc="04090005" w:tentative="1">
      <w:start w:val="1"/>
      <w:numFmt w:val="bullet"/>
      <w:lvlText w:val=""/>
      <w:lvlJc w:val="left"/>
      <w:pPr>
        <w:ind w:left="3704" w:hanging="420"/>
      </w:pPr>
      <w:rPr>
        <w:rFonts w:ascii="Wingdings" w:hAnsi="Wingdings" w:hint="default"/>
      </w:rPr>
    </w:lvl>
  </w:abstractNum>
  <w:abstractNum w:abstractNumId="32" w15:restartNumberingAfterBreak="0">
    <w:nsid w:val="67521285"/>
    <w:multiLevelType w:val="hybridMultilevel"/>
    <w:tmpl w:val="68E20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83E5794"/>
    <w:multiLevelType w:val="hybridMultilevel"/>
    <w:tmpl w:val="3A067DD4"/>
    <w:lvl w:ilvl="0" w:tplc="04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5E332C"/>
    <w:multiLevelType w:val="hybridMultilevel"/>
    <w:tmpl w:val="ABA0A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4E1B4A"/>
    <w:multiLevelType w:val="hybridMultilevel"/>
    <w:tmpl w:val="ECDC61F0"/>
    <w:lvl w:ilvl="0" w:tplc="49FE12AC">
      <w:numFmt w:val="bullet"/>
      <w:lvlText w:val="-"/>
      <w:lvlJc w:val="left"/>
      <w:pPr>
        <w:ind w:left="800" w:hanging="400"/>
      </w:pPr>
      <w:rPr>
        <w:rFonts w:ascii="Times New Roman" w:eastAsia="MS Mincho" w:hAnsi="Times New Roman" w:cs="Times New Roman" w:hint="default"/>
      </w:rPr>
    </w:lvl>
    <w:lvl w:ilvl="1" w:tplc="0C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5911C2F"/>
    <w:multiLevelType w:val="hybridMultilevel"/>
    <w:tmpl w:val="B4743C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D9A5F67"/>
    <w:multiLevelType w:val="hybridMultilevel"/>
    <w:tmpl w:val="71D8F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FEB39D1"/>
    <w:multiLevelType w:val="hybridMultilevel"/>
    <w:tmpl w:val="97A62D1E"/>
    <w:lvl w:ilvl="0" w:tplc="424EF5D6">
      <w:start w:val="1"/>
      <w:numFmt w:val="bullet"/>
      <w:lvlText w:val="•"/>
      <w:lvlJc w:val="left"/>
      <w:pPr>
        <w:tabs>
          <w:tab w:val="num" w:pos="360"/>
        </w:tabs>
        <w:ind w:left="360" w:hanging="360"/>
      </w:pPr>
      <w:rPr>
        <w:rFonts w:ascii="Arial" w:hAnsi="Arial" w:hint="default"/>
      </w:rPr>
    </w:lvl>
    <w:lvl w:ilvl="1" w:tplc="AFDACE02">
      <w:start w:val="277"/>
      <w:numFmt w:val="bullet"/>
      <w:lvlText w:val="–"/>
      <w:lvlJc w:val="left"/>
      <w:pPr>
        <w:tabs>
          <w:tab w:val="num" w:pos="1080"/>
        </w:tabs>
        <w:ind w:left="1080" w:hanging="360"/>
      </w:pPr>
      <w:rPr>
        <w:rFonts w:ascii="Arial" w:hAnsi="Arial" w:hint="default"/>
      </w:rPr>
    </w:lvl>
    <w:lvl w:ilvl="2" w:tplc="99C83A78">
      <w:start w:val="277"/>
      <w:numFmt w:val="bullet"/>
      <w:lvlText w:val="•"/>
      <w:lvlJc w:val="left"/>
      <w:pPr>
        <w:tabs>
          <w:tab w:val="num" w:pos="1800"/>
        </w:tabs>
        <w:ind w:left="1800" w:hanging="360"/>
      </w:pPr>
      <w:rPr>
        <w:rFonts w:ascii="Arial" w:hAnsi="Arial" w:hint="default"/>
      </w:rPr>
    </w:lvl>
    <w:lvl w:ilvl="3" w:tplc="74F8BE28">
      <w:start w:val="277"/>
      <w:numFmt w:val="bullet"/>
      <w:lvlText w:val="–"/>
      <w:lvlJc w:val="left"/>
      <w:pPr>
        <w:tabs>
          <w:tab w:val="num" w:pos="2520"/>
        </w:tabs>
        <w:ind w:left="2520" w:hanging="360"/>
      </w:pPr>
      <w:rPr>
        <w:rFonts w:ascii="Arial" w:hAnsi="Arial" w:hint="default"/>
      </w:rPr>
    </w:lvl>
    <w:lvl w:ilvl="4" w:tplc="7A6CDF1E" w:tentative="1">
      <w:start w:val="1"/>
      <w:numFmt w:val="bullet"/>
      <w:lvlText w:val="•"/>
      <w:lvlJc w:val="left"/>
      <w:pPr>
        <w:tabs>
          <w:tab w:val="num" w:pos="3240"/>
        </w:tabs>
        <w:ind w:left="3240" w:hanging="360"/>
      </w:pPr>
      <w:rPr>
        <w:rFonts w:ascii="Arial" w:hAnsi="Arial" w:hint="default"/>
      </w:rPr>
    </w:lvl>
    <w:lvl w:ilvl="5" w:tplc="0BB68B72" w:tentative="1">
      <w:start w:val="1"/>
      <w:numFmt w:val="bullet"/>
      <w:lvlText w:val="•"/>
      <w:lvlJc w:val="left"/>
      <w:pPr>
        <w:tabs>
          <w:tab w:val="num" w:pos="3960"/>
        </w:tabs>
        <w:ind w:left="3960" w:hanging="360"/>
      </w:pPr>
      <w:rPr>
        <w:rFonts w:ascii="Arial" w:hAnsi="Arial" w:hint="default"/>
      </w:rPr>
    </w:lvl>
    <w:lvl w:ilvl="6" w:tplc="1D98C7A6" w:tentative="1">
      <w:start w:val="1"/>
      <w:numFmt w:val="bullet"/>
      <w:lvlText w:val="•"/>
      <w:lvlJc w:val="left"/>
      <w:pPr>
        <w:tabs>
          <w:tab w:val="num" w:pos="4680"/>
        </w:tabs>
        <w:ind w:left="4680" w:hanging="360"/>
      </w:pPr>
      <w:rPr>
        <w:rFonts w:ascii="Arial" w:hAnsi="Arial" w:hint="default"/>
      </w:rPr>
    </w:lvl>
    <w:lvl w:ilvl="7" w:tplc="D716E568" w:tentative="1">
      <w:start w:val="1"/>
      <w:numFmt w:val="bullet"/>
      <w:lvlText w:val="•"/>
      <w:lvlJc w:val="left"/>
      <w:pPr>
        <w:tabs>
          <w:tab w:val="num" w:pos="5400"/>
        </w:tabs>
        <w:ind w:left="5400" w:hanging="360"/>
      </w:pPr>
      <w:rPr>
        <w:rFonts w:ascii="Arial" w:hAnsi="Arial" w:hint="default"/>
      </w:rPr>
    </w:lvl>
    <w:lvl w:ilvl="8" w:tplc="7ECE44A2" w:tentative="1">
      <w:start w:val="1"/>
      <w:numFmt w:val="bullet"/>
      <w:lvlText w:val="•"/>
      <w:lvlJc w:val="left"/>
      <w:pPr>
        <w:tabs>
          <w:tab w:val="num" w:pos="6120"/>
        </w:tabs>
        <w:ind w:left="6120" w:hanging="360"/>
      </w:pPr>
      <w:rPr>
        <w:rFonts w:ascii="Arial" w:hAnsi="Arial" w:hint="default"/>
      </w:rPr>
    </w:lvl>
  </w:abstractNum>
  <w:num w:numId="1">
    <w:abstractNumId w:val="13"/>
  </w:num>
  <w:num w:numId="2">
    <w:abstractNumId w:val="36"/>
  </w:num>
  <w:num w:numId="3">
    <w:abstractNumId w:val="34"/>
  </w:num>
  <w:num w:numId="4">
    <w:abstractNumId w:val="23"/>
  </w:num>
  <w:num w:numId="5">
    <w:abstractNumId w:val="3"/>
  </w:num>
  <w:num w:numId="6">
    <w:abstractNumId w:val="23"/>
  </w:num>
  <w:num w:numId="7">
    <w:abstractNumId w:val="23"/>
  </w:num>
  <w:num w:numId="8">
    <w:abstractNumId w:val="23"/>
  </w:num>
  <w:num w:numId="9">
    <w:abstractNumId w:val="23"/>
  </w:num>
  <w:num w:numId="10">
    <w:abstractNumId w:val="0"/>
  </w:num>
  <w:num w:numId="11">
    <w:abstractNumId w:val="24"/>
  </w:num>
  <w:num w:numId="12">
    <w:abstractNumId w:val="33"/>
  </w:num>
  <w:num w:numId="13">
    <w:abstractNumId w:val="2"/>
  </w:num>
  <w:num w:numId="14">
    <w:abstractNumId w:val="18"/>
  </w:num>
  <w:num w:numId="15">
    <w:abstractNumId w:val="10"/>
  </w:num>
  <w:num w:numId="16">
    <w:abstractNumId w:val="42"/>
  </w:num>
  <w:num w:numId="17">
    <w:abstractNumId w:val="19"/>
  </w:num>
  <w:num w:numId="18">
    <w:abstractNumId w:val="5"/>
  </w:num>
  <w:num w:numId="19">
    <w:abstractNumId w:val="21"/>
  </w:num>
  <w:num w:numId="20">
    <w:abstractNumId w:val="27"/>
  </w:num>
  <w:num w:numId="21">
    <w:abstractNumId w:val="7"/>
  </w:num>
  <w:num w:numId="22">
    <w:abstractNumId w:val="40"/>
  </w:num>
  <w:num w:numId="23">
    <w:abstractNumId w:val="25"/>
  </w:num>
  <w:num w:numId="24">
    <w:abstractNumId w:val="22"/>
  </w:num>
  <w:num w:numId="25">
    <w:abstractNumId w:val="20"/>
  </w:num>
  <w:num w:numId="26">
    <w:abstractNumId w:val="6"/>
  </w:num>
  <w:num w:numId="27">
    <w:abstractNumId w:val="30"/>
  </w:num>
  <w:num w:numId="28">
    <w:abstractNumId w:val="14"/>
  </w:num>
  <w:num w:numId="29">
    <w:abstractNumId w:val="12"/>
  </w:num>
  <w:num w:numId="30">
    <w:abstractNumId w:val="17"/>
  </w:num>
  <w:num w:numId="31">
    <w:abstractNumId w:val="11"/>
  </w:num>
  <w:num w:numId="32">
    <w:abstractNumId w:val="35"/>
  </w:num>
  <w:num w:numId="33">
    <w:abstractNumId w:val="41"/>
  </w:num>
  <w:num w:numId="34">
    <w:abstractNumId w:val="30"/>
  </w:num>
  <w:num w:numId="35">
    <w:abstractNumId w:val="35"/>
  </w:num>
  <w:num w:numId="36">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num>
  <w:num w:numId="41">
    <w:abstractNumId w:val="26"/>
  </w:num>
  <w:num w:numId="42">
    <w:abstractNumId w:val="39"/>
  </w:num>
  <w:num w:numId="43">
    <w:abstractNumId w:val="1"/>
  </w:num>
  <w:num w:numId="44">
    <w:abstractNumId w:val="9"/>
  </w:num>
  <w:num w:numId="45">
    <w:abstractNumId w:val="37"/>
  </w:num>
  <w:num w:numId="46">
    <w:abstractNumId w:val="28"/>
  </w:num>
  <w:num w:numId="47">
    <w:abstractNumId w:val="29"/>
  </w:num>
  <w:num w:numId="48">
    <w:abstractNumId w:val="31"/>
  </w:num>
  <w:num w:numId="4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06763"/>
    <w:rsid w:val="000209CF"/>
    <w:rsid w:val="00025569"/>
    <w:rsid w:val="00036438"/>
    <w:rsid w:val="000416C0"/>
    <w:rsid w:val="0004679C"/>
    <w:rsid w:val="00053E4E"/>
    <w:rsid w:val="00062107"/>
    <w:rsid w:val="000674D3"/>
    <w:rsid w:val="0007695E"/>
    <w:rsid w:val="00081BA1"/>
    <w:rsid w:val="0008233C"/>
    <w:rsid w:val="00090AA7"/>
    <w:rsid w:val="000916AE"/>
    <w:rsid w:val="00093C02"/>
    <w:rsid w:val="00096409"/>
    <w:rsid w:val="000A4750"/>
    <w:rsid w:val="000A5226"/>
    <w:rsid w:val="000B5449"/>
    <w:rsid w:val="000D0A1D"/>
    <w:rsid w:val="000D4E30"/>
    <w:rsid w:val="000E2C50"/>
    <w:rsid w:val="000F0DDD"/>
    <w:rsid w:val="00106103"/>
    <w:rsid w:val="00106B02"/>
    <w:rsid w:val="00116AEB"/>
    <w:rsid w:val="00120F02"/>
    <w:rsid w:val="00141150"/>
    <w:rsid w:val="00144E80"/>
    <w:rsid w:val="00145600"/>
    <w:rsid w:val="00145E41"/>
    <w:rsid w:val="00145FBE"/>
    <w:rsid w:val="001546FA"/>
    <w:rsid w:val="00157F24"/>
    <w:rsid w:val="00160785"/>
    <w:rsid w:val="00164673"/>
    <w:rsid w:val="001652D6"/>
    <w:rsid w:val="00167A4E"/>
    <w:rsid w:val="00171A43"/>
    <w:rsid w:val="001728C1"/>
    <w:rsid w:val="00173399"/>
    <w:rsid w:val="00174BFC"/>
    <w:rsid w:val="00183804"/>
    <w:rsid w:val="00185DDA"/>
    <w:rsid w:val="001866C7"/>
    <w:rsid w:val="00187D96"/>
    <w:rsid w:val="001A74CB"/>
    <w:rsid w:val="001C4A2A"/>
    <w:rsid w:val="001C7F45"/>
    <w:rsid w:val="001D6BAF"/>
    <w:rsid w:val="001E76A3"/>
    <w:rsid w:val="001F006C"/>
    <w:rsid w:val="001F0A9C"/>
    <w:rsid w:val="001F6548"/>
    <w:rsid w:val="00204464"/>
    <w:rsid w:val="00216862"/>
    <w:rsid w:val="002241E8"/>
    <w:rsid w:val="002256E9"/>
    <w:rsid w:val="00233380"/>
    <w:rsid w:val="00233469"/>
    <w:rsid w:val="00241C45"/>
    <w:rsid w:val="002432C9"/>
    <w:rsid w:val="00246379"/>
    <w:rsid w:val="00246872"/>
    <w:rsid w:val="00267F62"/>
    <w:rsid w:val="00274E92"/>
    <w:rsid w:val="002766FF"/>
    <w:rsid w:val="0028565A"/>
    <w:rsid w:val="00286CBC"/>
    <w:rsid w:val="00295566"/>
    <w:rsid w:val="002A09BD"/>
    <w:rsid w:val="002A6143"/>
    <w:rsid w:val="002B1EA6"/>
    <w:rsid w:val="002B5CFD"/>
    <w:rsid w:val="002F3528"/>
    <w:rsid w:val="00304D8A"/>
    <w:rsid w:val="00305EFA"/>
    <w:rsid w:val="003079C7"/>
    <w:rsid w:val="00311E4D"/>
    <w:rsid w:val="0031286C"/>
    <w:rsid w:val="0031500A"/>
    <w:rsid w:val="00332A72"/>
    <w:rsid w:val="00340704"/>
    <w:rsid w:val="00351C4E"/>
    <w:rsid w:val="00353A59"/>
    <w:rsid w:val="00354CC5"/>
    <w:rsid w:val="0036064B"/>
    <w:rsid w:val="00361475"/>
    <w:rsid w:val="00362044"/>
    <w:rsid w:val="00380967"/>
    <w:rsid w:val="00390468"/>
    <w:rsid w:val="00392DDA"/>
    <w:rsid w:val="00393F69"/>
    <w:rsid w:val="003958D7"/>
    <w:rsid w:val="003A5F5F"/>
    <w:rsid w:val="003B0B70"/>
    <w:rsid w:val="003C353E"/>
    <w:rsid w:val="003D07CF"/>
    <w:rsid w:val="003E2817"/>
    <w:rsid w:val="003E387D"/>
    <w:rsid w:val="003E6210"/>
    <w:rsid w:val="003F371A"/>
    <w:rsid w:val="00420BE7"/>
    <w:rsid w:val="00442D8B"/>
    <w:rsid w:val="00444473"/>
    <w:rsid w:val="0045688F"/>
    <w:rsid w:val="00460356"/>
    <w:rsid w:val="00461C92"/>
    <w:rsid w:val="00465B84"/>
    <w:rsid w:val="00472914"/>
    <w:rsid w:val="0047317F"/>
    <w:rsid w:val="00481B27"/>
    <w:rsid w:val="00482D43"/>
    <w:rsid w:val="00485DEA"/>
    <w:rsid w:val="004919B6"/>
    <w:rsid w:val="004941C0"/>
    <w:rsid w:val="00497EBB"/>
    <w:rsid w:val="004A66AD"/>
    <w:rsid w:val="004B48FA"/>
    <w:rsid w:val="004B53F1"/>
    <w:rsid w:val="004D1042"/>
    <w:rsid w:val="004D300F"/>
    <w:rsid w:val="004D682F"/>
    <w:rsid w:val="004E0EB3"/>
    <w:rsid w:val="004E6076"/>
    <w:rsid w:val="00500313"/>
    <w:rsid w:val="00500D4B"/>
    <w:rsid w:val="00504937"/>
    <w:rsid w:val="00505883"/>
    <w:rsid w:val="00511BDE"/>
    <w:rsid w:val="00535008"/>
    <w:rsid w:val="0054255D"/>
    <w:rsid w:val="00542EDE"/>
    <w:rsid w:val="00544119"/>
    <w:rsid w:val="00547AFB"/>
    <w:rsid w:val="00565E67"/>
    <w:rsid w:val="00571873"/>
    <w:rsid w:val="0057595D"/>
    <w:rsid w:val="00577A9B"/>
    <w:rsid w:val="005829E2"/>
    <w:rsid w:val="005868BE"/>
    <w:rsid w:val="00587211"/>
    <w:rsid w:val="00594422"/>
    <w:rsid w:val="0059642A"/>
    <w:rsid w:val="005A28DC"/>
    <w:rsid w:val="005C61CF"/>
    <w:rsid w:val="005C730F"/>
    <w:rsid w:val="005D2AA3"/>
    <w:rsid w:val="005E1C04"/>
    <w:rsid w:val="005E3141"/>
    <w:rsid w:val="005E3ADE"/>
    <w:rsid w:val="005F350C"/>
    <w:rsid w:val="005F3FCB"/>
    <w:rsid w:val="00606BE3"/>
    <w:rsid w:val="006251B5"/>
    <w:rsid w:val="00630849"/>
    <w:rsid w:val="00633BC7"/>
    <w:rsid w:val="006436A1"/>
    <w:rsid w:val="00657443"/>
    <w:rsid w:val="0067235F"/>
    <w:rsid w:val="0067597E"/>
    <w:rsid w:val="00675E72"/>
    <w:rsid w:val="006921B0"/>
    <w:rsid w:val="0069355D"/>
    <w:rsid w:val="00695FE2"/>
    <w:rsid w:val="006A0EF8"/>
    <w:rsid w:val="006A4FB5"/>
    <w:rsid w:val="006A72E5"/>
    <w:rsid w:val="006B164D"/>
    <w:rsid w:val="006B62CF"/>
    <w:rsid w:val="006C3B09"/>
    <w:rsid w:val="006C7BC6"/>
    <w:rsid w:val="006D245D"/>
    <w:rsid w:val="006F4CEB"/>
    <w:rsid w:val="007018F8"/>
    <w:rsid w:val="007069E1"/>
    <w:rsid w:val="00706F36"/>
    <w:rsid w:val="00714B23"/>
    <w:rsid w:val="00714B8A"/>
    <w:rsid w:val="00715A1D"/>
    <w:rsid w:val="00737AC9"/>
    <w:rsid w:val="0074608E"/>
    <w:rsid w:val="00751DBE"/>
    <w:rsid w:val="0075318B"/>
    <w:rsid w:val="00753DF8"/>
    <w:rsid w:val="0075627C"/>
    <w:rsid w:val="00756A23"/>
    <w:rsid w:val="007570FA"/>
    <w:rsid w:val="0076458F"/>
    <w:rsid w:val="00784E37"/>
    <w:rsid w:val="00796228"/>
    <w:rsid w:val="007A1C98"/>
    <w:rsid w:val="007A56DF"/>
    <w:rsid w:val="007A787E"/>
    <w:rsid w:val="007B1CB6"/>
    <w:rsid w:val="007B6EB1"/>
    <w:rsid w:val="007C17D0"/>
    <w:rsid w:val="007C515D"/>
    <w:rsid w:val="007D0CDF"/>
    <w:rsid w:val="007D6779"/>
    <w:rsid w:val="007E3686"/>
    <w:rsid w:val="007F11FE"/>
    <w:rsid w:val="00801425"/>
    <w:rsid w:val="00810C3F"/>
    <w:rsid w:val="0081533E"/>
    <w:rsid w:val="008178A7"/>
    <w:rsid w:val="00820F63"/>
    <w:rsid w:val="00822B01"/>
    <w:rsid w:val="00826849"/>
    <w:rsid w:val="00835A0D"/>
    <w:rsid w:val="00844516"/>
    <w:rsid w:val="008466AB"/>
    <w:rsid w:val="00847A69"/>
    <w:rsid w:val="00850514"/>
    <w:rsid w:val="008534BD"/>
    <w:rsid w:val="00853968"/>
    <w:rsid w:val="00855FFD"/>
    <w:rsid w:val="0086720B"/>
    <w:rsid w:val="008762D9"/>
    <w:rsid w:val="008801CA"/>
    <w:rsid w:val="00880D4E"/>
    <w:rsid w:val="0088570B"/>
    <w:rsid w:val="0088719B"/>
    <w:rsid w:val="008A5522"/>
    <w:rsid w:val="008B41DA"/>
    <w:rsid w:val="008B635C"/>
    <w:rsid w:val="008B7D1F"/>
    <w:rsid w:val="008C6315"/>
    <w:rsid w:val="008D062F"/>
    <w:rsid w:val="008D1CDC"/>
    <w:rsid w:val="008D2B3A"/>
    <w:rsid w:val="008E0894"/>
    <w:rsid w:val="008E117D"/>
    <w:rsid w:val="008E3073"/>
    <w:rsid w:val="008E50DE"/>
    <w:rsid w:val="008F2A9F"/>
    <w:rsid w:val="008F60CC"/>
    <w:rsid w:val="008F7418"/>
    <w:rsid w:val="00903ACF"/>
    <w:rsid w:val="0090409B"/>
    <w:rsid w:val="00904EDC"/>
    <w:rsid w:val="009116A2"/>
    <w:rsid w:val="00923CFE"/>
    <w:rsid w:val="00933D07"/>
    <w:rsid w:val="00943859"/>
    <w:rsid w:val="009635E0"/>
    <w:rsid w:val="0097173F"/>
    <w:rsid w:val="00972D78"/>
    <w:rsid w:val="00976381"/>
    <w:rsid w:val="00977066"/>
    <w:rsid w:val="00980014"/>
    <w:rsid w:val="009A3BD4"/>
    <w:rsid w:val="009C3461"/>
    <w:rsid w:val="009C6D95"/>
    <w:rsid w:val="009C79F1"/>
    <w:rsid w:val="009D7A73"/>
    <w:rsid w:val="009D7E42"/>
    <w:rsid w:val="009E01F4"/>
    <w:rsid w:val="009E1491"/>
    <w:rsid w:val="009E3FB2"/>
    <w:rsid w:val="009F0672"/>
    <w:rsid w:val="009F7D12"/>
    <w:rsid w:val="00A00856"/>
    <w:rsid w:val="00A17EB4"/>
    <w:rsid w:val="00A20C93"/>
    <w:rsid w:val="00A22F5F"/>
    <w:rsid w:val="00A2306D"/>
    <w:rsid w:val="00A23374"/>
    <w:rsid w:val="00A24FF6"/>
    <w:rsid w:val="00A25674"/>
    <w:rsid w:val="00A25A66"/>
    <w:rsid w:val="00A274D3"/>
    <w:rsid w:val="00A40502"/>
    <w:rsid w:val="00A45305"/>
    <w:rsid w:val="00A50AEC"/>
    <w:rsid w:val="00A559E1"/>
    <w:rsid w:val="00A55D47"/>
    <w:rsid w:val="00A61093"/>
    <w:rsid w:val="00A65882"/>
    <w:rsid w:val="00A65F67"/>
    <w:rsid w:val="00A67B5E"/>
    <w:rsid w:val="00A70327"/>
    <w:rsid w:val="00A867AE"/>
    <w:rsid w:val="00A876D8"/>
    <w:rsid w:val="00AA1DD2"/>
    <w:rsid w:val="00AC0188"/>
    <w:rsid w:val="00AC5E18"/>
    <w:rsid w:val="00AE4EA8"/>
    <w:rsid w:val="00AF282A"/>
    <w:rsid w:val="00AF4C70"/>
    <w:rsid w:val="00B04309"/>
    <w:rsid w:val="00B04603"/>
    <w:rsid w:val="00B11B40"/>
    <w:rsid w:val="00B25039"/>
    <w:rsid w:val="00B26E5A"/>
    <w:rsid w:val="00B27109"/>
    <w:rsid w:val="00B312EC"/>
    <w:rsid w:val="00B44D18"/>
    <w:rsid w:val="00B45046"/>
    <w:rsid w:val="00B47A8B"/>
    <w:rsid w:val="00B573CF"/>
    <w:rsid w:val="00B57E94"/>
    <w:rsid w:val="00B63B9C"/>
    <w:rsid w:val="00B71710"/>
    <w:rsid w:val="00B73C8F"/>
    <w:rsid w:val="00B765E6"/>
    <w:rsid w:val="00B77319"/>
    <w:rsid w:val="00B81921"/>
    <w:rsid w:val="00B87980"/>
    <w:rsid w:val="00BA0969"/>
    <w:rsid w:val="00BA1AAB"/>
    <w:rsid w:val="00BA2891"/>
    <w:rsid w:val="00BA2C37"/>
    <w:rsid w:val="00BA3D3A"/>
    <w:rsid w:val="00BA3FD2"/>
    <w:rsid w:val="00BA4EA1"/>
    <w:rsid w:val="00BB1780"/>
    <w:rsid w:val="00BB1DD1"/>
    <w:rsid w:val="00BB7CC5"/>
    <w:rsid w:val="00BC0557"/>
    <w:rsid w:val="00BC3632"/>
    <w:rsid w:val="00BE0624"/>
    <w:rsid w:val="00BE0A7F"/>
    <w:rsid w:val="00BE1BFA"/>
    <w:rsid w:val="00BE4F07"/>
    <w:rsid w:val="00BF2238"/>
    <w:rsid w:val="00BF45BC"/>
    <w:rsid w:val="00C02C04"/>
    <w:rsid w:val="00C03599"/>
    <w:rsid w:val="00C038A4"/>
    <w:rsid w:val="00C144BA"/>
    <w:rsid w:val="00C144FC"/>
    <w:rsid w:val="00C16AE6"/>
    <w:rsid w:val="00C352D1"/>
    <w:rsid w:val="00C426A0"/>
    <w:rsid w:val="00C450DC"/>
    <w:rsid w:val="00C50B1E"/>
    <w:rsid w:val="00C52858"/>
    <w:rsid w:val="00C5327F"/>
    <w:rsid w:val="00C62CD0"/>
    <w:rsid w:val="00C65125"/>
    <w:rsid w:val="00C75F3A"/>
    <w:rsid w:val="00C90A3D"/>
    <w:rsid w:val="00CA159B"/>
    <w:rsid w:val="00CA3961"/>
    <w:rsid w:val="00CB6C37"/>
    <w:rsid w:val="00CC2EE9"/>
    <w:rsid w:val="00CC4A85"/>
    <w:rsid w:val="00CD1C22"/>
    <w:rsid w:val="00CE28AD"/>
    <w:rsid w:val="00CE7243"/>
    <w:rsid w:val="00CF02F1"/>
    <w:rsid w:val="00CF1101"/>
    <w:rsid w:val="00D03F9B"/>
    <w:rsid w:val="00D04379"/>
    <w:rsid w:val="00D0723D"/>
    <w:rsid w:val="00D12DF2"/>
    <w:rsid w:val="00D44A28"/>
    <w:rsid w:val="00D52A3A"/>
    <w:rsid w:val="00D60DAF"/>
    <w:rsid w:val="00D715A7"/>
    <w:rsid w:val="00D751B7"/>
    <w:rsid w:val="00D751C0"/>
    <w:rsid w:val="00D84981"/>
    <w:rsid w:val="00D877DA"/>
    <w:rsid w:val="00D9102B"/>
    <w:rsid w:val="00DA3053"/>
    <w:rsid w:val="00DC13D4"/>
    <w:rsid w:val="00DC1F83"/>
    <w:rsid w:val="00DC6244"/>
    <w:rsid w:val="00DC6E19"/>
    <w:rsid w:val="00DC70D1"/>
    <w:rsid w:val="00DD3281"/>
    <w:rsid w:val="00DD3C3A"/>
    <w:rsid w:val="00DD3EC9"/>
    <w:rsid w:val="00DE6F29"/>
    <w:rsid w:val="00E01E29"/>
    <w:rsid w:val="00E03D9C"/>
    <w:rsid w:val="00E13651"/>
    <w:rsid w:val="00E22320"/>
    <w:rsid w:val="00E23402"/>
    <w:rsid w:val="00E31A80"/>
    <w:rsid w:val="00E348E1"/>
    <w:rsid w:val="00E36524"/>
    <w:rsid w:val="00E37779"/>
    <w:rsid w:val="00E6365B"/>
    <w:rsid w:val="00E67003"/>
    <w:rsid w:val="00E73CFF"/>
    <w:rsid w:val="00E774CB"/>
    <w:rsid w:val="00E8572A"/>
    <w:rsid w:val="00E926B4"/>
    <w:rsid w:val="00E9594D"/>
    <w:rsid w:val="00E96E5D"/>
    <w:rsid w:val="00EA298F"/>
    <w:rsid w:val="00EA5E87"/>
    <w:rsid w:val="00EB287D"/>
    <w:rsid w:val="00EB3D7A"/>
    <w:rsid w:val="00ED3B92"/>
    <w:rsid w:val="00ED5635"/>
    <w:rsid w:val="00EE1D0F"/>
    <w:rsid w:val="00EE4760"/>
    <w:rsid w:val="00EE6304"/>
    <w:rsid w:val="00EE7133"/>
    <w:rsid w:val="00F027F8"/>
    <w:rsid w:val="00F10EC7"/>
    <w:rsid w:val="00F43AB1"/>
    <w:rsid w:val="00F51562"/>
    <w:rsid w:val="00F5580C"/>
    <w:rsid w:val="00F66000"/>
    <w:rsid w:val="00F712CC"/>
    <w:rsid w:val="00F71CBF"/>
    <w:rsid w:val="00F848C2"/>
    <w:rsid w:val="00F86FBF"/>
    <w:rsid w:val="00FB2DB2"/>
    <w:rsid w:val="00FB3A48"/>
    <w:rsid w:val="00FB4480"/>
    <w:rsid w:val="00FB6D7B"/>
    <w:rsid w:val="00FD37A6"/>
    <w:rsid w:val="00FE5DF0"/>
    <w:rsid w:val="00FF3427"/>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E96E5D"/>
    <w:pPr>
      <w:widowControl w:val="0"/>
      <w:numPr>
        <w:numId w:val="4"/>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E96E5D"/>
    <w:pPr>
      <w:keepNext/>
      <w:widowControl w:val="0"/>
      <w:numPr>
        <w:ilvl w:val="1"/>
        <w:numId w:val="4"/>
      </w:numPr>
      <w:spacing w:before="240" w:after="60"/>
      <w:jc w:val="left"/>
      <w:outlineLvl w:val="1"/>
    </w:pPr>
    <w:rPr>
      <w:rFonts w:eastAsia="Batang" w:cs="Times New Roman"/>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E96E5D"/>
    <w:pPr>
      <w:keepNext/>
      <w:numPr>
        <w:ilvl w:val="2"/>
        <w:numId w:val="4"/>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E96E5D"/>
    <w:pPr>
      <w:numPr>
        <w:ilvl w:val="3"/>
      </w:numPr>
      <w:outlineLvl w:val="3"/>
    </w:pPr>
    <w:rPr>
      <w:i/>
    </w:rPr>
  </w:style>
  <w:style w:type="paragraph" w:styleId="Heading5">
    <w:name w:val="heading 5"/>
    <w:basedOn w:val="Heading4"/>
    <w:next w:val="Normal"/>
    <w:link w:val="Heading5Char"/>
    <w:uiPriority w:val="9"/>
    <w:qFormat/>
    <w:rsid w:val="00E96E5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E96E5D"/>
    <w:pPr>
      <w:numPr>
        <w:ilvl w:val="5"/>
        <w:numId w:val="4"/>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E96E5D"/>
    <w:pPr>
      <w:numPr>
        <w:ilvl w:val="6"/>
        <w:numId w:val="4"/>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E96E5D"/>
    <w:pPr>
      <w:numPr>
        <w:ilvl w:val="7"/>
        <w:numId w:val="4"/>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E96E5D"/>
    <w:pPr>
      <w:numPr>
        <w:ilvl w:val="8"/>
        <w:numId w:val="4"/>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511BDE"/>
    <w:pPr>
      <w:tabs>
        <w:tab w:val="center" w:pos="4513"/>
        <w:tab w:val="right" w:pos="9026"/>
      </w:tabs>
    </w:pPr>
  </w:style>
  <w:style w:type="character" w:customStyle="1" w:styleId="FooterChar">
    <w:name w:val="Footer Char"/>
    <w:basedOn w:val="DefaultParagraphFont"/>
    <w:link w:val="Footer"/>
    <w:uiPriority w:val="99"/>
    <w:rsid w:val="00511BDE"/>
    <w:rPr>
      <w:rFonts w:ascii="Arial" w:eastAsia="SimSun" w:hAnsi="Arial" w:cs="Arial"/>
      <w:sz w:val="21"/>
      <w:szCs w:val="21"/>
      <w:lang w:val="en-GB"/>
    </w:rPr>
  </w:style>
  <w:style w:type="table" w:styleId="TableGrid">
    <w:name w:val="Table Grid"/>
    <w:basedOn w:val="TableNormal"/>
    <w:uiPriority w:val="39"/>
    <w:rsid w:val="00F43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F43AB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F43AB1"/>
    <w:rPr>
      <w:rFonts w:ascii="Times" w:eastAsia="Batang" w:hAnsi="Times" w:cs="Times New Roman"/>
      <w:sz w:val="20"/>
      <w:szCs w:val="24"/>
      <w:lang w:val="en-GB" w:eastAsia="x-none"/>
    </w:rPr>
  </w:style>
  <w:style w:type="paragraph" w:styleId="Caption">
    <w:name w:val="caption"/>
    <w:basedOn w:val="Normal"/>
    <w:next w:val="Normal"/>
    <w:uiPriority w:val="35"/>
    <w:unhideWhenUsed/>
    <w:qFormat/>
    <w:rsid w:val="007069E1"/>
    <w:pPr>
      <w:spacing w:after="200"/>
    </w:pPr>
    <w:rPr>
      <w:i/>
      <w:iCs/>
      <w:color w:val="44546A" w:themeColor="text2"/>
      <w:sz w:val="18"/>
      <w:szCs w:val="18"/>
    </w:rPr>
  </w:style>
  <w:style w:type="character" w:styleId="Hyperlink">
    <w:name w:val="Hyperlink"/>
    <w:basedOn w:val="DefaultParagraphFont"/>
    <w:uiPriority w:val="99"/>
    <w:unhideWhenUsed/>
    <w:rsid w:val="0031286C"/>
    <w:rPr>
      <w:color w:val="0563C1" w:themeColor="hyperlink"/>
      <w:u w:val="single"/>
    </w:rPr>
  </w:style>
  <w:style w:type="character" w:styleId="UnresolvedMention">
    <w:name w:val="Unresolved Mention"/>
    <w:basedOn w:val="DefaultParagraphFont"/>
    <w:uiPriority w:val="99"/>
    <w:semiHidden/>
    <w:unhideWhenUsed/>
    <w:rsid w:val="0031286C"/>
    <w:rPr>
      <w:color w:val="605E5C"/>
      <w:shd w:val="clear" w:color="auto" w:fill="E1DFDD"/>
    </w:rPr>
  </w:style>
  <w:style w:type="character" w:styleId="FollowedHyperlink">
    <w:name w:val="FollowedHyperlink"/>
    <w:basedOn w:val="DefaultParagraphFont"/>
    <w:uiPriority w:val="99"/>
    <w:semiHidden/>
    <w:unhideWhenUsed/>
    <w:rsid w:val="0031286C"/>
    <w:rPr>
      <w:color w:val="954F72" w:themeColor="followedHyperlink"/>
      <w:u w:val="singl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96E5D"/>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E96E5D"/>
    <w:rPr>
      <w:rFonts w:ascii="Arial" w:eastAsia="Batang" w:hAnsi="Arial" w:cs="Times New Roman"/>
      <w:b/>
      <w:bCs/>
      <w:i/>
      <w:iCs/>
      <w:sz w:val="24"/>
      <w:szCs w:val="28"/>
      <w:lang w:val="en-GB"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E96E5D"/>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96E5D"/>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E96E5D"/>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E96E5D"/>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E96E5D"/>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E96E5D"/>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E96E5D"/>
    <w:rPr>
      <w:rFonts w:ascii="Arial" w:eastAsia="Batang" w:hAnsi="Arial" w:cs="Times New Roman"/>
      <w:lang w:val="en-GB" w:eastAsia="x-none"/>
    </w:rPr>
  </w:style>
  <w:style w:type="paragraph" w:styleId="BalloonText">
    <w:name w:val="Balloon Text"/>
    <w:basedOn w:val="Normal"/>
    <w:link w:val="BalloonTextChar"/>
    <w:uiPriority w:val="99"/>
    <w:semiHidden/>
    <w:unhideWhenUsed/>
    <w:rsid w:val="003E62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6210"/>
    <w:rPr>
      <w:rFonts w:ascii="Segoe UI" w:eastAsia="SimSun" w:hAnsi="Segoe UI" w:cs="Segoe UI"/>
      <w:sz w:val="18"/>
      <w:szCs w:val="18"/>
      <w:lang w:val="en-GB"/>
    </w:rPr>
  </w:style>
  <w:style w:type="character" w:customStyle="1" w:styleId="fontstyle01">
    <w:name w:val="fontstyle01"/>
    <w:basedOn w:val="DefaultParagraphFont"/>
    <w:rsid w:val="00EE7133"/>
    <w:rPr>
      <w:rFonts w:ascii="ArialMT" w:hAnsi="ArialMT" w:hint="default"/>
      <w:b w:val="0"/>
      <w:bCs w:val="0"/>
      <w:i w:val="0"/>
      <w:iCs w:val="0"/>
      <w:color w:val="000000"/>
      <w:sz w:val="18"/>
      <w:szCs w:val="18"/>
    </w:rPr>
  </w:style>
  <w:style w:type="character" w:customStyle="1" w:styleId="fontstyle21">
    <w:name w:val="fontstyle21"/>
    <w:basedOn w:val="DefaultParagraphFont"/>
    <w:rsid w:val="00EE7133"/>
    <w:rPr>
      <w:rFonts w:ascii="Arial-ItalicMT" w:hAnsi="Arial-ItalicMT"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32032">
      <w:bodyDiv w:val="1"/>
      <w:marLeft w:val="0"/>
      <w:marRight w:val="0"/>
      <w:marTop w:val="0"/>
      <w:marBottom w:val="0"/>
      <w:divBdr>
        <w:top w:val="none" w:sz="0" w:space="0" w:color="auto"/>
        <w:left w:val="none" w:sz="0" w:space="0" w:color="auto"/>
        <w:bottom w:val="none" w:sz="0" w:space="0" w:color="auto"/>
        <w:right w:val="none" w:sz="0" w:space="0" w:color="auto"/>
      </w:divBdr>
    </w:div>
    <w:div w:id="159778831">
      <w:bodyDiv w:val="1"/>
      <w:marLeft w:val="0"/>
      <w:marRight w:val="0"/>
      <w:marTop w:val="0"/>
      <w:marBottom w:val="0"/>
      <w:divBdr>
        <w:top w:val="none" w:sz="0" w:space="0" w:color="auto"/>
        <w:left w:val="none" w:sz="0" w:space="0" w:color="auto"/>
        <w:bottom w:val="none" w:sz="0" w:space="0" w:color="auto"/>
        <w:right w:val="none" w:sz="0" w:space="0" w:color="auto"/>
      </w:divBdr>
    </w:div>
    <w:div w:id="192891038">
      <w:bodyDiv w:val="1"/>
      <w:marLeft w:val="0"/>
      <w:marRight w:val="0"/>
      <w:marTop w:val="0"/>
      <w:marBottom w:val="0"/>
      <w:divBdr>
        <w:top w:val="none" w:sz="0" w:space="0" w:color="auto"/>
        <w:left w:val="none" w:sz="0" w:space="0" w:color="auto"/>
        <w:bottom w:val="none" w:sz="0" w:space="0" w:color="auto"/>
        <w:right w:val="none" w:sz="0" w:space="0" w:color="auto"/>
      </w:divBdr>
      <w:divsChild>
        <w:div w:id="383723416">
          <w:marLeft w:val="1166"/>
          <w:marRight w:val="0"/>
          <w:marTop w:val="0"/>
          <w:marBottom w:val="0"/>
          <w:divBdr>
            <w:top w:val="none" w:sz="0" w:space="0" w:color="auto"/>
            <w:left w:val="none" w:sz="0" w:space="0" w:color="auto"/>
            <w:bottom w:val="none" w:sz="0" w:space="0" w:color="auto"/>
            <w:right w:val="none" w:sz="0" w:space="0" w:color="auto"/>
          </w:divBdr>
        </w:div>
        <w:div w:id="375589047">
          <w:marLeft w:val="1886"/>
          <w:marRight w:val="0"/>
          <w:marTop w:val="0"/>
          <w:marBottom w:val="0"/>
          <w:divBdr>
            <w:top w:val="none" w:sz="0" w:space="0" w:color="auto"/>
            <w:left w:val="none" w:sz="0" w:space="0" w:color="auto"/>
            <w:bottom w:val="none" w:sz="0" w:space="0" w:color="auto"/>
            <w:right w:val="none" w:sz="0" w:space="0" w:color="auto"/>
          </w:divBdr>
        </w:div>
        <w:div w:id="2069113304">
          <w:marLeft w:val="2606"/>
          <w:marRight w:val="0"/>
          <w:marTop w:val="0"/>
          <w:marBottom w:val="0"/>
          <w:divBdr>
            <w:top w:val="none" w:sz="0" w:space="0" w:color="auto"/>
            <w:left w:val="none" w:sz="0" w:space="0" w:color="auto"/>
            <w:bottom w:val="none" w:sz="0" w:space="0" w:color="auto"/>
            <w:right w:val="none" w:sz="0" w:space="0" w:color="auto"/>
          </w:divBdr>
        </w:div>
        <w:div w:id="1946381257">
          <w:marLeft w:val="1166"/>
          <w:marRight w:val="0"/>
          <w:marTop w:val="0"/>
          <w:marBottom w:val="0"/>
          <w:divBdr>
            <w:top w:val="none" w:sz="0" w:space="0" w:color="auto"/>
            <w:left w:val="none" w:sz="0" w:space="0" w:color="auto"/>
            <w:bottom w:val="none" w:sz="0" w:space="0" w:color="auto"/>
            <w:right w:val="none" w:sz="0" w:space="0" w:color="auto"/>
          </w:divBdr>
        </w:div>
        <w:div w:id="257250994">
          <w:marLeft w:val="1886"/>
          <w:marRight w:val="0"/>
          <w:marTop w:val="0"/>
          <w:marBottom w:val="0"/>
          <w:divBdr>
            <w:top w:val="none" w:sz="0" w:space="0" w:color="auto"/>
            <w:left w:val="none" w:sz="0" w:space="0" w:color="auto"/>
            <w:bottom w:val="none" w:sz="0" w:space="0" w:color="auto"/>
            <w:right w:val="none" w:sz="0" w:space="0" w:color="auto"/>
          </w:divBdr>
        </w:div>
        <w:div w:id="645402088">
          <w:marLeft w:val="2606"/>
          <w:marRight w:val="0"/>
          <w:marTop w:val="0"/>
          <w:marBottom w:val="0"/>
          <w:divBdr>
            <w:top w:val="none" w:sz="0" w:space="0" w:color="auto"/>
            <w:left w:val="none" w:sz="0" w:space="0" w:color="auto"/>
            <w:bottom w:val="none" w:sz="0" w:space="0" w:color="auto"/>
            <w:right w:val="none" w:sz="0" w:space="0" w:color="auto"/>
          </w:divBdr>
        </w:div>
      </w:divsChild>
    </w:div>
    <w:div w:id="242766245">
      <w:bodyDiv w:val="1"/>
      <w:marLeft w:val="0"/>
      <w:marRight w:val="0"/>
      <w:marTop w:val="0"/>
      <w:marBottom w:val="0"/>
      <w:divBdr>
        <w:top w:val="none" w:sz="0" w:space="0" w:color="auto"/>
        <w:left w:val="none" w:sz="0" w:space="0" w:color="auto"/>
        <w:bottom w:val="none" w:sz="0" w:space="0" w:color="auto"/>
        <w:right w:val="none" w:sz="0" w:space="0" w:color="auto"/>
      </w:divBdr>
    </w:div>
    <w:div w:id="322658691">
      <w:bodyDiv w:val="1"/>
      <w:marLeft w:val="0"/>
      <w:marRight w:val="0"/>
      <w:marTop w:val="0"/>
      <w:marBottom w:val="0"/>
      <w:divBdr>
        <w:top w:val="none" w:sz="0" w:space="0" w:color="auto"/>
        <w:left w:val="none" w:sz="0" w:space="0" w:color="auto"/>
        <w:bottom w:val="none" w:sz="0" w:space="0" w:color="auto"/>
        <w:right w:val="none" w:sz="0" w:space="0" w:color="auto"/>
      </w:divBdr>
      <w:divsChild>
        <w:div w:id="1584030855">
          <w:marLeft w:val="1166"/>
          <w:marRight w:val="0"/>
          <w:marTop w:val="0"/>
          <w:marBottom w:val="0"/>
          <w:divBdr>
            <w:top w:val="none" w:sz="0" w:space="0" w:color="auto"/>
            <w:left w:val="none" w:sz="0" w:space="0" w:color="auto"/>
            <w:bottom w:val="none" w:sz="0" w:space="0" w:color="auto"/>
            <w:right w:val="none" w:sz="0" w:space="0" w:color="auto"/>
          </w:divBdr>
        </w:div>
        <w:div w:id="474952359">
          <w:marLeft w:val="2606"/>
          <w:marRight w:val="0"/>
          <w:marTop w:val="0"/>
          <w:marBottom w:val="0"/>
          <w:divBdr>
            <w:top w:val="none" w:sz="0" w:space="0" w:color="auto"/>
            <w:left w:val="none" w:sz="0" w:space="0" w:color="auto"/>
            <w:bottom w:val="none" w:sz="0" w:space="0" w:color="auto"/>
            <w:right w:val="none" w:sz="0" w:space="0" w:color="auto"/>
          </w:divBdr>
        </w:div>
        <w:div w:id="636758530">
          <w:marLeft w:val="2606"/>
          <w:marRight w:val="0"/>
          <w:marTop w:val="0"/>
          <w:marBottom w:val="0"/>
          <w:divBdr>
            <w:top w:val="none" w:sz="0" w:space="0" w:color="auto"/>
            <w:left w:val="none" w:sz="0" w:space="0" w:color="auto"/>
            <w:bottom w:val="none" w:sz="0" w:space="0" w:color="auto"/>
            <w:right w:val="none" w:sz="0" w:space="0" w:color="auto"/>
          </w:divBdr>
        </w:div>
      </w:divsChild>
    </w:div>
    <w:div w:id="400056899">
      <w:bodyDiv w:val="1"/>
      <w:marLeft w:val="0"/>
      <w:marRight w:val="0"/>
      <w:marTop w:val="0"/>
      <w:marBottom w:val="0"/>
      <w:divBdr>
        <w:top w:val="none" w:sz="0" w:space="0" w:color="auto"/>
        <w:left w:val="none" w:sz="0" w:space="0" w:color="auto"/>
        <w:bottom w:val="none" w:sz="0" w:space="0" w:color="auto"/>
        <w:right w:val="none" w:sz="0" w:space="0" w:color="auto"/>
      </w:divBdr>
    </w:div>
    <w:div w:id="496533075">
      <w:bodyDiv w:val="1"/>
      <w:marLeft w:val="0"/>
      <w:marRight w:val="0"/>
      <w:marTop w:val="0"/>
      <w:marBottom w:val="0"/>
      <w:divBdr>
        <w:top w:val="none" w:sz="0" w:space="0" w:color="auto"/>
        <w:left w:val="none" w:sz="0" w:space="0" w:color="auto"/>
        <w:bottom w:val="none" w:sz="0" w:space="0" w:color="auto"/>
        <w:right w:val="none" w:sz="0" w:space="0" w:color="auto"/>
      </w:divBdr>
    </w:div>
    <w:div w:id="917439261">
      <w:bodyDiv w:val="1"/>
      <w:marLeft w:val="0"/>
      <w:marRight w:val="0"/>
      <w:marTop w:val="0"/>
      <w:marBottom w:val="0"/>
      <w:divBdr>
        <w:top w:val="none" w:sz="0" w:space="0" w:color="auto"/>
        <w:left w:val="none" w:sz="0" w:space="0" w:color="auto"/>
        <w:bottom w:val="none" w:sz="0" w:space="0" w:color="auto"/>
        <w:right w:val="none" w:sz="0" w:space="0" w:color="auto"/>
      </w:divBdr>
    </w:div>
    <w:div w:id="928586529">
      <w:bodyDiv w:val="1"/>
      <w:marLeft w:val="0"/>
      <w:marRight w:val="0"/>
      <w:marTop w:val="0"/>
      <w:marBottom w:val="0"/>
      <w:divBdr>
        <w:top w:val="none" w:sz="0" w:space="0" w:color="auto"/>
        <w:left w:val="none" w:sz="0" w:space="0" w:color="auto"/>
        <w:bottom w:val="none" w:sz="0" w:space="0" w:color="auto"/>
        <w:right w:val="none" w:sz="0" w:space="0" w:color="auto"/>
      </w:divBdr>
      <w:divsChild>
        <w:div w:id="414401773">
          <w:marLeft w:val="1166"/>
          <w:marRight w:val="0"/>
          <w:marTop w:val="0"/>
          <w:marBottom w:val="0"/>
          <w:divBdr>
            <w:top w:val="none" w:sz="0" w:space="0" w:color="auto"/>
            <w:left w:val="none" w:sz="0" w:space="0" w:color="auto"/>
            <w:bottom w:val="none" w:sz="0" w:space="0" w:color="auto"/>
            <w:right w:val="none" w:sz="0" w:space="0" w:color="auto"/>
          </w:divBdr>
        </w:div>
        <w:div w:id="1946961942">
          <w:marLeft w:val="1886"/>
          <w:marRight w:val="0"/>
          <w:marTop w:val="0"/>
          <w:marBottom w:val="0"/>
          <w:divBdr>
            <w:top w:val="none" w:sz="0" w:space="0" w:color="auto"/>
            <w:left w:val="none" w:sz="0" w:space="0" w:color="auto"/>
            <w:bottom w:val="none" w:sz="0" w:space="0" w:color="auto"/>
            <w:right w:val="none" w:sz="0" w:space="0" w:color="auto"/>
          </w:divBdr>
        </w:div>
        <w:div w:id="722288933">
          <w:marLeft w:val="1886"/>
          <w:marRight w:val="0"/>
          <w:marTop w:val="0"/>
          <w:marBottom w:val="0"/>
          <w:divBdr>
            <w:top w:val="none" w:sz="0" w:space="0" w:color="auto"/>
            <w:left w:val="none" w:sz="0" w:space="0" w:color="auto"/>
            <w:bottom w:val="none" w:sz="0" w:space="0" w:color="auto"/>
            <w:right w:val="none" w:sz="0" w:space="0" w:color="auto"/>
          </w:divBdr>
        </w:div>
      </w:divsChild>
    </w:div>
    <w:div w:id="1435323354">
      <w:bodyDiv w:val="1"/>
      <w:marLeft w:val="0"/>
      <w:marRight w:val="0"/>
      <w:marTop w:val="0"/>
      <w:marBottom w:val="0"/>
      <w:divBdr>
        <w:top w:val="none" w:sz="0" w:space="0" w:color="auto"/>
        <w:left w:val="none" w:sz="0" w:space="0" w:color="auto"/>
        <w:bottom w:val="none" w:sz="0" w:space="0" w:color="auto"/>
        <w:right w:val="none" w:sz="0" w:space="0" w:color="auto"/>
      </w:divBdr>
    </w:div>
    <w:div w:id="1610157214">
      <w:bodyDiv w:val="1"/>
      <w:marLeft w:val="0"/>
      <w:marRight w:val="0"/>
      <w:marTop w:val="0"/>
      <w:marBottom w:val="0"/>
      <w:divBdr>
        <w:top w:val="none" w:sz="0" w:space="0" w:color="auto"/>
        <w:left w:val="none" w:sz="0" w:space="0" w:color="auto"/>
        <w:bottom w:val="none" w:sz="0" w:space="0" w:color="auto"/>
        <w:right w:val="none" w:sz="0" w:space="0" w:color="auto"/>
      </w:divBdr>
    </w:div>
    <w:div w:id="1667855432">
      <w:bodyDiv w:val="1"/>
      <w:marLeft w:val="0"/>
      <w:marRight w:val="0"/>
      <w:marTop w:val="0"/>
      <w:marBottom w:val="0"/>
      <w:divBdr>
        <w:top w:val="none" w:sz="0" w:space="0" w:color="auto"/>
        <w:left w:val="none" w:sz="0" w:space="0" w:color="auto"/>
        <w:bottom w:val="none" w:sz="0" w:space="0" w:color="auto"/>
        <w:right w:val="none" w:sz="0" w:space="0" w:color="auto"/>
      </w:divBdr>
    </w:div>
    <w:div w:id="1690250784">
      <w:bodyDiv w:val="1"/>
      <w:marLeft w:val="0"/>
      <w:marRight w:val="0"/>
      <w:marTop w:val="0"/>
      <w:marBottom w:val="0"/>
      <w:divBdr>
        <w:top w:val="none" w:sz="0" w:space="0" w:color="auto"/>
        <w:left w:val="none" w:sz="0" w:space="0" w:color="auto"/>
        <w:bottom w:val="none" w:sz="0" w:space="0" w:color="auto"/>
        <w:right w:val="none" w:sz="0" w:space="0" w:color="auto"/>
      </w:divBdr>
    </w:div>
    <w:div w:id="2144300046">
      <w:bodyDiv w:val="1"/>
      <w:marLeft w:val="0"/>
      <w:marRight w:val="0"/>
      <w:marTop w:val="0"/>
      <w:marBottom w:val="0"/>
      <w:divBdr>
        <w:top w:val="none" w:sz="0" w:space="0" w:color="auto"/>
        <w:left w:val="none" w:sz="0" w:space="0" w:color="auto"/>
        <w:bottom w:val="none" w:sz="0" w:space="0" w:color="auto"/>
        <w:right w:val="none" w:sz="0" w:space="0" w:color="auto"/>
      </w:divBdr>
      <w:divsChild>
        <w:div w:id="1806314402">
          <w:marLeft w:val="547"/>
          <w:marRight w:val="0"/>
          <w:marTop w:val="91"/>
          <w:marBottom w:val="0"/>
          <w:divBdr>
            <w:top w:val="none" w:sz="0" w:space="0" w:color="auto"/>
            <w:left w:val="none" w:sz="0" w:space="0" w:color="auto"/>
            <w:bottom w:val="none" w:sz="0" w:space="0" w:color="auto"/>
            <w:right w:val="none" w:sz="0" w:space="0" w:color="auto"/>
          </w:divBdr>
        </w:div>
        <w:div w:id="1396977550">
          <w:marLeft w:val="1166"/>
          <w:marRight w:val="0"/>
          <w:marTop w:val="82"/>
          <w:marBottom w:val="0"/>
          <w:divBdr>
            <w:top w:val="none" w:sz="0" w:space="0" w:color="auto"/>
            <w:left w:val="none" w:sz="0" w:space="0" w:color="auto"/>
            <w:bottom w:val="none" w:sz="0" w:space="0" w:color="auto"/>
            <w:right w:val="none" w:sz="0" w:space="0" w:color="auto"/>
          </w:divBdr>
        </w:div>
        <w:div w:id="582497809">
          <w:marLeft w:val="547"/>
          <w:marRight w:val="0"/>
          <w:marTop w:val="91"/>
          <w:marBottom w:val="0"/>
          <w:divBdr>
            <w:top w:val="none" w:sz="0" w:space="0" w:color="auto"/>
            <w:left w:val="none" w:sz="0" w:space="0" w:color="auto"/>
            <w:bottom w:val="none" w:sz="0" w:space="0" w:color="auto"/>
            <w:right w:val="none" w:sz="0" w:space="0" w:color="auto"/>
          </w:divBdr>
        </w:div>
        <w:div w:id="1345476405">
          <w:marLeft w:val="1166"/>
          <w:marRight w:val="0"/>
          <w:marTop w:val="82"/>
          <w:marBottom w:val="0"/>
          <w:divBdr>
            <w:top w:val="none" w:sz="0" w:space="0" w:color="auto"/>
            <w:left w:val="none" w:sz="0" w:space="0" w:color="auto"/>
            <w:bottom w:val="none" w:sz="0" w:space="0" w:color="auto"/>
            <w:right w:val="none" w:sz="0" w:space="0" w:color="auto"/>
          </w:divBdr>
        </w:div>
        <w:div w:id="1329364803">
          <w:marLeft w:val="1800"/>
          <w:marRight w:val="0"/>
          <w:marTop w:val="72"/>
          <w:marBottom w:val="0"/>
          <w:divBdr>
            <w:top w:val="none" w:sz="0" w:space="0" w:color="auto"/>
            <w:left w:val="none" w:sz="0" w:space="0" w:color="auto"/>
            <w:bottom w:val="none" w:sz="0" w:space="0" w:color="auto"/>
            <w:right w:val="none" w:sz="0" w:space="0" w:color="auto"/>
          </w:divBdr>
        </w:div>
        <w:div w:id="1156647874">
          <w:marLeft w:val="1800"/>
          <w:marRight w:val="0"/>
          <w:marTop w:val="72"/>
          <w:marBottom w:val="0"/>
          <w:divBdr>
            <w:top w:val="none" w:sz="0" w:space="0" w:color="auto"/>
            <w:left w:val="none" w:sz="0" w:space="0" w:color="auto"/>
            <w:bottom w:val="none" w:sz="0" w:space="0" w:color="auto"/>
            <w:right w:val="none" w:sz="0" w:space="0" w:color="auto"/>
          </w:divBdr>
        </w:div>
        <w:div w:id="93290155">
          <w:marLeft w:val="2520"/>
          <w:marRight w:val="0"/>
          <w:marTop w:val="67"/>
          <w:marBottom w:val="0"/>
          <w:divBdr>
            <w:top w:val="none" w:sz="0" w:space="0" w:color="auto"/>
            <w:left w:val="none" w:sz="0" w:space="0" w:color="auto"/>
            <w:bottom w:val="none" w:sz="0" w:space="0" w:color="auto"/>
            <w:right w:val="none" w:sz="0" w:space="0" w:color="auto"/>
          </w:divBdr>
        </w:div>
        <w:div w:id="479923347">
          <w:marLeft w:val="2520"/>
          <w:marRight w:val="0"/>
          <w:marTop w:val="67"/>
          <w:marBottom w:val="0"/>
          <w:divBdr>
            <w:top w:val="none" w:sz="0" w:space="0" w:color="auto"/>
            <w:left w:val="none" w:sz="0" w:space="0" w:color="auto"/>
            <w:bottom w:val="none" w:sz="0" w:space="0" w:color="auto"/>
            <w:right w:val="none" w:sz="0" w:space="0" w:color="auto"/>
          </w:divBdr>
        </w:div>
        <w:div w:id="538325512">
          <w:marLeft w:val="1166"/>
          <w:marRight w:val="0"/>
          <w:marTop w:val="82"/>
          <w:marBottom w:val="0"/>
          <w:divBdr>
            <w:top w:val="none" w:sz="0" w:space="0" w:color="auto"/>
            <w:left w:val="none" w:sz="0" w:space="0" w:color="auto"/>
            <w:bottom w:val="none" w:sz="0" w:space="0" w:color="auto"/>
            <w:right w:val="none" w:sz="0" w:space="0" w:color="auto"/>
          </w:divBdr>
        </w:div>
        <w:div w:id="1257522101">
          <w:marLeft w:val="1800"/>
          <w:marRight w:val="0"/>
          <w:marTop w:val="72"/>
          <w:marBottom w:val="0"/>
          <w:divBdr>
            <w:top w:val="none" w:sz="0" w:space="0" w:color="auto"/>
            <w:left w:val="none" w:sz="0" w:space="0" w:color="auto"/>
            <w:bottom w:val="none" w:sz="0" w:space="0" w:color="auto"/>
            <w:right w:val="none" w:sz="0" w:space="0" w:color="auto"/>
          </w:divBdr>
        </w:div>
        <w:div w:id="2121022728">
          <w:marLeft w:val="1800"/>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DCA05-A324-44EC-A8A8-4BF66E207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3091</Words>
  <Characters>17624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Discussion on support for IDLE and INACTIVE state UEs</vt:lpstr>
    </vt:vector>
  </TitlesOfParts>
  <Company>Guangdong OPPO Mobile Telecom</Company>
  <LinksUpToDate>false</LinksUpToDate>
  <CharactersWithSpaces>20674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support for IDLE and INACTIVE state UEs</dc:title>
  <dc:subject>NR-V2X</dc:subject>
  <dc:creator>Kevin.Lin@oppo.com</dc:creator>
  <cp:keywords>RAN1#105-e</cp:keywords>
  <dc:description>Final version for submission</dc:description>
  <cp:lastModifiedBy>Kevin Lin</cp:lastModifiedBy>
  <cp:revision>5</cp:revision>
  <cp:lastPrinted>2020-02-09T00:52:00Z</cp:lastPrinted>
  <dcterms:created xsi:type="dcterms:W3CDTF">2021-05-11T01:01:00Z</dcterms:created>
  <dcterms:modified xsi:type="dcterms:W3CDTF">2021-05-11T08:08:00Z</dcterms:modified>
  <cp:category>Coexistence</cp:category>
</cp:coreProperties>
</file>